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EFCAD8">
      <w:pPr>
        <w:keepNext w:val="0"/>
        <w:keepLines w:val="0"/>
        <w:pageBreakBefore w:val="0"/>
        <w:kinsoku/>
        <w:overflowPunct/>
        <w:topLinePunct w:val="0"/>
        <w:bidi w:val="0"/>
        <w:snapToGrid/>
        <w:spacing w:line="600" w:lineRule="exact"/>
        <w:ind w:left="0"/>
        <w:jc w:val="center"/>
        <w:textAlignment w:val="auto"/>
        <w:rPr>
          <w:rFonts w:ascii="方正小标宋简体" w:hAnsi="宋体" w:eastAsia="方正小标宋简体"/>
          <w:color w:val="auto"/>
          <w:sz w:val="44"/>
          <w:szCs w:val="32"/>
        </w:rPr>
      </w:pPr>
      <w:r>
        <w:rPr>
          <w:rFonts w:hint="eastAsia" w:ascii="方正小标宋简体" w:hAnsi="宋体" w:eastAsia="方正小标宋简体"/>
          <w:color w:val="auto"/>
          <w:sz w:val="44"/>
          <w:szCs w:val="32"/>
        </w:rPr>
        <w:t>团体标准《无人机三维建模培训服务规范》（征求意见稿）编制说明</w:t>
      </w:r>
    </w:p>
    <w:p w14:paraId="7545AED6">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p>
    <w:p w14:paraId="0D5136F0">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一、任务来源、起草单位、主要起草人</w:t>
      </w:r>
    </w:p>
    <w:p w14:paraId="7FB55DF0">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highlight w:val="none"/>
        </w:rPr>
        <w:t>根据《广西标准化协会关于下达20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年第</w:t>
      </w:r>
      <w:r>
        <w:rPr>
          <w:rFonts w:hint="eastAsia" w:ascii="仿宋_GB2312" w:hAnsi="宋体"/>
          <w:color w:val="auto"/>
          <w:sz w:val="32"/>
          <w:szCs w:val="28"/>
          <w:highlight w:val="none"/>
          <w:lang w:val="en-US" w:eastAsia="zh-CN"/>
        </w:rPr>
        <w:t>七</w:t>
      </w:r>
      <w:r>
        <w:rPr>
          <w:rFonts w:hint="eastAsia" w:ascii="仿宋_GB2312" w:hAnsi="宋体" w:eastAsia="仿宋_GB2312"/>
          <w:color w:val="auto"/>
          <w:sz w:val="32"/>
          <w:szCs w:val="28"/>
          <w:highlight w:val="none"/>
        </w:rPr>
        <w:t>批团体标准制修订项目计划的通知》（桂标协〔20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79</w:t>
      </w:r>
      <w:r>
        <w:rPr>
          <w:rFonts w:hint="eastAsia" w:ascii="仿宋_GB2312" w:hAnsi="宋体" w:eastAsia="仿宋_GB2312"/>
          <w:color w:val="auto"/>
          <w:sz w:val="32"/>
          <w:szCs w:val="28"/>
          <w:highlight w:val="none"/>
        </w:rPr>
        <w:t>号）文件精神，由</w:t>
      </w:r>
      <w:r>
        <w:rPr>
          <w:rFonts w:hint="eastAsia" w:ascii="仿宋_GB2312" w:hAnsi="宋体"/>
          <w:color w:val="auto"/>
          <w:sz w:val="32"/>
          <w:szCs w:val="28"/>
          <w:highlight w:val="none"/>
          <w:lang w:val="en-US" w:eastAsia="zh-CN"/>
        </w:rPr>
        <w:t>广西无人机技术应用协会</w:t>
      </w:r>
      <w:r>
        <w:rPr>
          <w:rFonts w:hint="eastAsia" w:ascii="仿宋_GB2312" w:hAnsi="宋体" w:eastAsia="仿宋_GB2312"/>
          <w:color w:val="auto"/>
          <w:sz w:val="32"/>
          <w:szCs w:val="28"/>
          <w:highlight w:val="none"/>
        </w:rPr>
        <w:t>提出，</w:t>
      </w:r>
      <w:r>
        <w:rPr>
          <w:rFonts w:hint="eastAsia" w:ascii="仿宋_GB2312" w:hAnsi="宋体"/>
          <w:color w:val="auto"/>
          <w:sz w:val="32"/>
          <w:szCs w:val="28"/>
          <w:highlight w:val="none"/>
          <w:lang w:val="en-US" w:eastAsia="zh-CN"/>
        </w:rPr>
        <w:t>广西交通职业技术学院、展视网(北京)科技有限公司、广西和谦工程咨询有限公司</w:t>
      </w:r>
      <w:r>
        <w:rPr>
          <w:rFonts w:hint="eastAsia" w:ascii="仿宋_GB2312" w:hAnsi="宋体" w:eastAsia="仿宋_GB2312"/>
          <w:color w:val="auto"/>
          <w:sz w:val="32"/>
          <w:szCs w:val="28"/>
          <w:highlight w:val="none"/>
        </w:rPr>
        <w:t>等</w:t>
      </w:r>
      <w:r>
        <w:rPr>
          <w:rFonts w:ascii="仿宋_GB2312" w:hAnsi="宋体" w:eastAsia="仿宋_GB2312"/>
          <w:color w:val="auto"/>
          <w:sz w:val="32"/>
          <w:szCs w:val="28"/>
          <w:highlight w:val="none"/>
        </w:rPr>
        <w:t>单位</w:t>
      </w:r>
      <w:r>
        <w:rPr>
          <w:rFonts w:hint="eastAsia" w:ascii="仿宋_GB2312" w:hAnsi="宋体" w:eastAsia="仿宋_GB2312"/>
          <w:color w:val="auto"/>
          <w:sz w:val="32"/>
          <w:szCs w:val="28"/>
          <w:highlight w:val="none"/>
        </w:rPr>
        <w:t>共同起草的团体标准《无人机三维建模培训服务规范》（项目编号：20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0711</w:t>
      </w:r>
      <w:r>
        <w:rPr>
          <w:rFonts w:hint="eastAsia" w:ascii="仿宋_GB2312" w:hAnsi="宋体" w:eastAsia="仿宋_GB2312"/>
          <w:color w:val="auto"/>
          <w:sz w:val="32"/>
          <w:szCs w:val="28"/>
          <w:highlight w:val="none"/>
        </w:rPr>
        <w:t>）已获批</w:t>
      </w:r>
      <w:r>
        <w:rPr>
          <w:rFonts w:hint="eastAsia" w:ascii="仿宋_GB2312" w:hAnsi="宋体" w:eastAsia="仿宋_GB2312"/>
          <w:color w:val="auto"/>
          <w:sz w:val="32"/>
          <w:szCs w:val="28"/>
        </w:rPr>
        <w:t>立项。</w:t>
      </w:r>
    </w:p>
    <w:p w14:paraId="134AFA4C">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为高质量编制团体标准《</w:t>
      </w:r>
      <w:r>
        <w:rPr>
          <w:rFonts w:hint="eastAsia" w:ascii="仿宋_GB2312" w:hAnsi="宋体" w:eastAsia="仿宋_GB2312"/>
          <w:color w:val="auto"/>
          <w:sz w:val="32"/>
          <w:szCs w:val="28"/>
          <w:highlight w:val="none"/>
        </w:rPr>
        <w:t>无人机三维建模培训服务规范</w:t>
      </w:r>
      <w:r>
        <w:rPr>
          <w:rFonts w:hint="eastAsia" w:ascii="仿宋_GB2312" w:hAnsi="宋体" w:eastAsia="仿宋_GB2312"/>
          <w:color w:val="auto"/>
          <w:sz w:val="32"/>
          <w:szCs w:val="28"/>
        </w:rPr>
        <w:t>》，由起草单位成立标准编制工作组并进行如下分工：</w:t>
      </w:r>
    </w:p>
    <w:tbl>
      <w:tblPr>
        <w:tblStyle w:val="6"/>
        <w:tblW w:w="4997" w:type="pct"/>
        <w:tblInd w:w="0" w:type="dxa"/>
        <w:tblLayout w:type="autofit"/>
        <w:tblCellMar>
          <w:top w:w="0" w:type="dxa"/>
          <w:left w:w="108" w:type="dxa"/>
          <w:bottom w:w="0" w:type="dxa"/>
          <w:right w:w="108" w:type="dxa"/>
        </w:tblCellMar>
      </w:tblPr>
      <w:tblGrid>
        <w:gridCol w:w="1243"/>
        <w:gridCol w:w="1411"/>
        <w:gridCol w:w="2058"/>
        <w:gridCol w:w="4456"/>
      </w:tblGrid>
      <w:tr w14:paraId="7809343D">
        <w:tblPrEx>
          <w:tblCellMar>
            <w:top w:w="0" w:type="dxa"/>
            <w:left w:w="108" w:type="dxa"/>
            <w:bottom w:w="0" w:type="dxa"/>
            <w:right w:w="108" w:type="dxa"/>
          </w:tblCellMar>
        </w:tblPrEx>
        <w:trPr>
          <w:cantSplit/>
          <w:trHeight w:val="578" w:hRule="atLeast"/>
          <w:tblHeader/>
        </w:trPr>
        <w:tc>
          <w:tcPr>
            <w:tcW w:w="678" w:type="pct"/>
            <w:tcBorders>
              <w:top w:val="single" w:color="auto" w:sz="4" w:space="0"/>
              <w:left w:val="single" w:color="auto" w:sz="4" w:space="0"/>
              <w:bottom w:val="single" w:color="auto" w:sz="4" w:space="0"/>
              <w:right w:val="single" w:color="auto" w:sz="4" w:space="0"/>
            </w:tcBorders>
            <w:vAlign w:val="center"/>
          </w:tcPr>
          <w:p w14:paraId="0E4EF44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bCs/>
                <w:color w:val="auto"/>
                <w:sz w:val="24"/>
                <w:lang w:val="en-US" w:eastAsia="zh-CN"/>
              </w:rPr>
            </w:pPr>
            <w:r>
              <w:rPr>
                <w:rFonts w:hint="eastAsia" w:ascii="Times New Roman" w:hAnsi="Times New Roman" w:eastAsia="仿宋" w:cs="Times New Roman"/>
                <w:b/>
                <w:bCs/>
                <w:color w:val="auto"/>
                <w:sz w:val="24"/>
                <w:lang w:val="en-US" w:eastAsia="zh-CN"/>
              </w:rPr>
              <w:t>姓  名</w:t>
            </w:r>
          </w:p>
        </w:tc>
        <w:tc>
          <w:tcPr>
            <w:tcW w:w="769" w:type="pct"/>
            <w:tcBorders>
              <w:top w:val="single" w:color="auto" w:sz="4" w:space="0"/>
              <w:left w:val="single" w:color="auto" w:sz="4" w:space="0"/>
              <w:bottom w:val="single" w:color="auto" w:sz="4" w:space="0"/>
              <w:right w:val="single" w:color="auto" w:sz="4" w:space="0"/>
            </w:tcBorders>
            <w:vAlign w:val="center"/>
          </w:tcPr>
          <w:p w14:paraId="05FD9F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bCs/>
                <w:color w:val="auto"/>
                <w:sz w:val="24"/>
                <w:lang w:val="en-US" w:eastAsia="zh-CN"/>
              </w:rPr>
            </w:pPr>
            <w:r>
              <w:rPr>
                <w:rFonts w:hint="eastAsia" w:ascii="Times New Roman" w:hAnsi="Times New Roman" w:eastAsia="仿宋" w:cs="Times New Roman"/>
                <w:b/>
                <w:bCs/>
                <w:color w:val="auto"/>
                <w:sz w:val="24"/>
                <w:lang w:val="en-US" w:eastAsia="zh-CN"/>
              </w:rPr>
              <w:t>职称/职位</w:t>
            </w:r>
          </w:p>
        </w:tc>
        <w:tc>
          <w:tcPr>
            <w:tcW w:w="1122" w:type="pct"/>
            <w:tcBorders>
              <w:top w:val="single" w:color="auto" w:sz="4" w:space="0"/>
              <w:left w:val="single" w:color="auto" w:sz="4" w:space="0"/>
              <w:bottom w:val="single" w:color="auto" w:sz="4" w:space="0"/>
              <w:right w:val="single" w:color="auto" w:sz="4" w:space="0"/>
            </w:tcBorders>
            <w:vAlign w:val="center"/>
          </w:tcPr>
          <w:p w14:paraId="6DE4B5C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bCs/>
                <w:color w:val="auto"/>
                <w:sz w:val="24"/>
                <w:lang w:val="en-US" w:eastAsia="zh-CN"/>
              </w:rPr>
            </w:pPr>
            <w:r>
              <w:rPr>
                <w:rFonts w:hint="eastAsia" w:ascii="Times New Roman" w:hAnsi="Times New Roman" w:eastAsia="仿宋" w:cs="Times New Roman"/>
                <w:b/>
                <w:bCs/>
                <w:color w:val="auto"/>
                <w:sz w:val="24"/>
                <w:lang w:val="en-US" w:eastAsia="zh-CN"/>
              </w:rPr>
              <w:t>工作单位</w:t>
            </w:r>
          </w:p>
        </w:tc>
        <w:tc>
          <w:tcPr>
            <w:tcW w:w="2429" w:type="pct"/>
            <w:tcBorders>
              <w:top w:val="single" w:color="auto" w:sz="4" w:space="0"/>
              <w:left w:val="single" w:color="auto" w:sz="4" w:space="0"/>
              <w:bottom w:val="single" w:color="auto" w:sz="4" w:space="0"/>
              <w:right w:val="single" w:color="auto" w:sz="4" w:space="0"/>
            </w:tcBorders>
            <w:vAlign w:val="center"/>
          </w:tcPr>
          <w:p w14:paraId="7A1E50A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bCs/>
                <w:color w:val="auto"/>
                <w:sz w:val="24"/>
                <w:lang w:val="en-US" w:eastAsia="zh-CN"/>
              </w:rPr>
            </w:pPr>
            <w:r>
              <w:rPr>
                <w:rFonts w:hint="eastAsia" w:ascii="Times New Roman" w:hAnsi="Times New Roman" w:eastAsia="仿宋" w:cs="Times New Roman"/>
                <w:b/>
                <w:bCs/>
                <w:color w:val="auto"/>
                <w:sz w:val="24"/>
                <w:lang w:val="en-US" w:eastAsia="zh-CN"/>
              </w:rPr>
              <w:t>主要负责工作</w:t>
            </w:r>
          </w:p>
        </w:tc>
      </w:tr>
      <w:tr w14:paraId="3BA7805A">
        <w:tblPrEx>
          <w:tblCellMar>
            <w:top w:w="0" w:type="dxa"/>
            <w:left w:w="108" w:type="dxa"/>
            <w:bottom w:w="0" w:type="dxa"/>
            <w:right w:w="108" w:type="dxa"/>
          </w:tblCellMar>
        </w:tblPrEx>
        <w:trPr>
          <w:cantSplit/>
          <w:trHeight w:val="732" w:hRule="atLeast"/>
        </w:trPr>
        <w:tc>
          <w:tcPr>
            <w:tcW w:w="678" w:type="pct"/>
            <w:tcBorders>
              <w:top w:val="single" w:color="auto" w:sz="4" w:space="0"/>
              <w:left w:val="single" w:color="auto" w:sz="4" w:space="0"/>
              <w:bottom w:val="single" w:color="auto" w:sz="4" w:space="0"/>
              <w:right w:val="single" w:color="008000" w:sz="4" w:space="0"/>
            </w:tcBorders>
            <w:vAlign w:val="center"/>
          </w:tcPr>
          <w:p w14:paraId="1426081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魏  炜</w:t>
            </w:r>
          </w:p>
        </w:tc>
        <w:tc>
          <w:tcPr>
            <w:tcW w:w="769" w:type="pct"/>
            <w:tcBorders>
              <w:top w:val="single" w:color="auto" w:sz="4" w:space="0"/>
              <w:left w:val="single" w:color="auto" w:sz="4" w:space="0"/>
              <w:bottom w:val="single" w:color="auto" w:sz="4" w:space="0"/>
              <w:right w:val="single" w:color="auto" w:sz="4" w:space="0"/>
            </w:tcBorders>
            <w:shd w:val="clear" w:color="auto" w:fill="auto"/>
            <w:vAlign w:val="center"/>
          </w:tcPr>
          <w:p w14:paraId="12102A0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教授/学院院长</w:t>
            </w:r>
          </w:p>
        </w:tc>
        <w:tc>
          <w:tcPr>
            <w:tcW w:w="1122" w:type="pct"/>
            <w:tcBorders>
              <w:top w:val="single" w:color="000000" w:sz="2" w:space="0"/>
              <w:left w:val="single" w:color="auto" w:sz="4" w:space="0"/>
              <w:bottom w:val="single" w:color="auto" w:sz="4" w:space="0"/>
              <w:right w:val="single" w:color="auto" w:sz="4" w:space="0"/>
            </w:tcBorders>
            <w:shd w:val="clear" w:color="auto" w:fill="auto"/>
            <w:vAlign w:val="center"/>
          </w:tcPr>
          <w:p w14:paraId="0BCEE49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广西交通职业技术学院</w:t>
            </w:r>
          </w:p>
        </w:tc>
        <w:tc>
          <w:tcPr>
            <w:tcW w:w="2429" w:type="pct"/>
            <w:tcBorders>
              <w:top w:val="single" w:color="auto" w:sz="4" w:space="0"/>
              <w:left w:val="single" w:color="auto" w:sz="4" w:space="0"/>
              <w:bottom w:val="single" w:color="auto" w:sz="4" w:space="0"/>
              <w:right w:val="single" w:color="auto" w:sz="4" w:space="0"/>
            </w:tcBorders>
            <w:vAlign w:val="center"/>
          </w:tcPr>
          <w:p w14:paraId="1330368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统筹主持标准编制工作</w:t>
            </w:r>
          </w:p>
        </w:tc>
      </w:tr>
      <w:tr w14:paraId="795455FB">
        <w:tblPrEx>
          <w:tblCellMar>
            <w:top w:w="0" w:type="dxa"/>
            <w:left w:w="108" w:type="dxa"/>
            <w:bottom w:w="0" w:type="dxa"/>
            <w:right w:w="108" w:type="dxa"/>
          </w:tblCellMar>
        </w:tblPrEx>
        <w:trPr>
          <w:cantSplit/>
          <w:trHeight w:val="517" w:hRule="atLeast"/>
        </w:trPr>
        <w:tc>
          <w:tcPr>
            <w:tcW w:w="678" w:type="pct"/>
            <w:tcBorders>
              <w:top w:val="single" w:color="auto" w:sz="4" w:space="0"/>
              <w:left w:val="single" w:color="auto" w:sz="4" w:space="0"/>
              <w:bottom w:val="single" w:color="auto" w:sz="4" w:space="0"/>
              <w:right w:val="single" w:color="008000" w:sz="4" w:space="0"/>
            </w:tcBorders>
            <w:vAlign w:val="center"/>
          </w:tcPr>
          <w:p w14:paraId="23F3CAD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杜  静</w:t>
            </w:r>
          </w:p>
        </w:tc>
        <w:tc>
          <w:tcPr>
            <w:tcW w:w="769" w:type="pct"/>
            <w:tcBorders>
              <w:top w:val="single" w:color="auto" w:sz="4" w:space="0"/>
              <w:left w:val="single" w:color="auto" w:sz="4" w:space="0"/>
              <w:bottom w:val="single" w:color="auto" w:sz="4" w:space="0"/>
              <w:right w:val="single" w:color="auto" w:sz="4" w:space="0"/>
            </w:tcBorders>
            <w:vAlign w:val="center"/>
          </w:tcPr>
          <w:p w14:paraId="5AB9AB9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教授/数字孪生团队负责人</w:t>
            </w:r>
          </w:p>
        </w:tc>
        <w:tc>
          <w:tcPr>
            <w:tcW w:w="1122" w:type="pct"/>
            <w:tcBorders>
              <w:top w:val="single" w:color="000000" w:sz="2" w:space="0"/>
              <w:left w:val="single" w:color="auto" w:sz="4" w:space="0"/>
              <w:bottom w:val="single" w:color="auto" w:sz="4" w:space="0"/>
              <w:right w:val="single" w:color="auto" w:sz="4" w:space="0"/>
            </w:tcBorders>
            <w:vAlign w:val="center"/>
          </w:tcPr>
          <w:p w14:paraId="3CD490C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广西交通职业技术学院</w:t>
            </w:r>
          </w:p>
        </w:tc>
        <w:tc>
          <w:tcPr>
            <w:tcW w:w="2429" w:type="pct"/>
            <w:tcBorders>
              <w:top w:val="single" w:color="auto" w:sz="4" w:space="0"/>
              <w:left w:val="single" w:color="auto" w:sz="4" w:space="0"/>
              <w:bottom w:val="single" w:color="auto" w:sz="4" w:space="0"/>
              <w:right w:val="single" w:color="auto" w:sz="4" w:space="0"/>
            </w:tcBorders>
            <w:vAlign w:val="center"/>
          </w:tcPr>
          <w:p w14:paraId="45F594A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参与标准编制工作，组织人员进行标准发布后的宣贯培训。</w:t>
            </w:r>
          </w:p>
        </w:tc>
      </w:tr>
      <w:tr w14:paraId="4FE0338D">
        <w:tblPrEx>
          <w:tblCellMar>
            <w:top w:w="0" w:type="dxa"/>
            <w:left w:w="108" w:type="dxa"/>
            <w:bottom w:w="0" w:type="dxa"/>
            <w:right w:w="108" w:type="dxa"/>
          </w:tblCellMar>
        </w:tblPrEx>
        <w:trPr>
          <w:cantSplit/>
          <w:trHeight w:val="517" w:hRule="atLeast"/>
        </w:trPr>
        <w:tc>
          <w:tcPr>
            <w:tcW w:w="678" w:type="pct"/>
            <w:tcBorders>
              <w:top w:val="single" w:color="auto" w:sz="4" w:space="0"/>
              <w:left w:val="single" w:color="auto" w:sz="4" w:space="0"/>
              <w:bottom w:val="single" w:color="auto" w:sz="4" w:space="0"/>
              <w:right w:val="single" w:color="008000" w:sz="4" w:space="0"/>
            </w:tcBorders>
            <w:vAlign w:val="center"/>
          </w:tcPr>
          <w:p w14:paraId="3373686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徐丽丽</w:t>
            </w:r>
          </w:p>
        </w:tc>
        <w:tc>
          <w:tcPr>
            <w:tcW w:w="769" w:type="pct"/>
            <w:tcBorders>
              <w:top w:val="single" w:color="auto" w:sz="4" w:space="0"/>
              <w:left w:val="single" w:color="auto" w:sz="4" w:space="0"/>
              <w:bottom w:val="single" w:color="auto" w:sz="4" w:space="0"/>
              <w:right w:val="single" w:color="auto" w:sz="4" w:space="0"/>
            </w:tcBorders>
            <w:vAlign w:val="center"/>
          </w:tcPr>
          <w:p w14:paraId="6D7A33A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副教授</w:t>
            </w:r>
          </w:p>
        </w:tc>
        <w:tc>
          <w:tcPr>
            <w:tcW w:w="1122" w:type="pct"/>
            <w:tcBorders>
              <w:top w:val="single" w:color="000000" w:sz="2" w:space="0"/>
              <w:left w:val="single" w:color="auto" w:sz="4" w:space="0"/>
              <w:bottom w:val="single" w:color="auto" w:sz="4" w:space="0"/>
              <w:right w:val="single" w:color="auto" w:sz="4" w:space="0"/>
            </w:tcBorders>
            <w:vAlign w:val="center"/>
          </w:tcPr>
          <w:p w14:paraId="34A2DE0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广西交通职业技术学院</w:t>
            </w:r>
          </w:p>
        </w:tc>
        <w:tc>
          <w:tcPr>
            <w:tcW w:w="2429" w:type="pct"/>
            <w:tcBorders>
              <w:top w:val="single" w:color="auto" w:sz="4" w:space="0"/>
              <w:left w:val="single" w:color="auto" w:sz="4" w:space="0"/>
              <w:bottom w:val="single" w:color="auto" w:sz="4" w:space="0"/>
              <w:right w:val="single" w:color="auto" w:sz="4" w:space="0"/>
            </w:tcBorders>
            <w:vAlign w:val="center"/>
          </w:tcPr>
          <w:p w14:paraId="77FA140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参与标准文本及编制说明编写，质量控制。</w:t>
            </w:r>
          </w:p>
        </w:tc>
      </w:tr>
      <w:tr w14:paraId="4DA2C65D">
        <w:tblPrEx>
          <w:tblCellMar>
            <w:top w:w="0" w:type="dxa"/>
            <w:left w:w="108" w:type="dxa"/>
            <w:bottom w:w="0" w:type="dxa"/>
            <w:right w:w="108" w:type="dxa"/>
          </w:tblCellMar>
        </w:tblPrEx>
        <w:trPr>
          <w:cantSplit/>
          <w:trHeight w:val="517" w:hRule="atLeast"/>
        </w:trPr>
        <w:tc>
          <w:tcPr>
            <w:tcW w:w="678" w:type="pct"/>
            <w:tcBorders>
              <w:top w:val="single" w:color="auto" w:sz="4" w:space="0"/>
              <w:left w:val="single" w:color="auto" w:sz="4" w:space="0"/>
              <w:bottom w:val="single" w:color="auto" w:sz="4" w:space="0"/>
              <w:right w:val="single" w:color="008000" w:sz="4" w:space="0"/>
            </w:tcBorders>
            <w:vAlign w:val="center"/>
          </w:tcPr>
          <w:p w14:paraId="672699B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周晓琴</w:t>
            </w:r>
          </w:p>
        </w:tc>
        <w:tc>
          <w:tcPr>
            <w:tcW w:w="769" w:type="pct"/>
            <w:tcBorders>
              <w:top w:val="single" w:color="auto" w:sz="4" w:space="0"/>
              <w:left w:val="single" w:color="auto" w:sz="4" w:space="0"/>
              <w:bottom w:val="single" w:color="auto" w:sz="4" w:space="0"/>
              <w:right w:val="single" w:color="auto" w:sz="4" w:space="0"/>
            </w:tcBorders>
            <w:vAlign w:val="center"/>
          </w:tcPr>
          <w:p w14:paraId="4EE4C89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高级工程师</w:t>
            </w:r>
          </w:p>
        </w:tc>
        <w:tc>
          <w:tcPr>
            <w:tcW w:w="1122" w:type="pct"/>
            <w:tcBorders>
              <w:top w:val="single" w:color="000000" w:sz="2" w:space="0"/>
              <w:left w:val="single" w:color="auto" w:sz="4" w:space="0"/>
              <w:bottom w:val="single" w:color="auto" w:sz="4" w:space="0"/>
              <w:right w:val="single" w:color="auto" w:sz="4" w:space="0"/>
            </w:tcBorders>
            <w:vAlign w:val="center"/>
          </w:tcPr>
          <w:p w14:paraId="6B11D98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广西交通职业技术学院</w:t>
            </w:r>
          </w:p>
        </w:tc>
        <w:tc>
          <w:tcPr>
            <w:tcW w:w="2429" w:type="pct"/>
            <w:tcBorders>
              <w:top w:val="single" w:color="auto" w:sz="4" w:space="0"/>
              <w:left w:val="single" w:color="auto" w:sz="4" w:space="0"/>
              <w:bottom w:val="single" w:color="auto" w:sz="4" w:space="0"/>
              <w:right w:val="single" w:color="auto" w:sz="4" w:space="0"/>
            </w:tcBorders>
            <w:vAlign w:val="center"/>
          </w:tcPr>
          <w:p w14:paraId="74ED45F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参与标准文本及编制说明的编写；组织开展标准征求意见会；对标准实施情况进行总结分析，不断对标准提出修正意见。</w:t>
            </w:r>
          </w:p>
        </w:tc>
      </w:tr>
      <w:tr w14:paraId="425367DE">
        <w:tblPrEx>
          <w:tblCellMar>
            <w:top w:w="0" w:type="dxa"/>
            <w:left w:w="108" w:type="dxa"/>
            <w:bottom w:w="0" w:type="dxa"/>
            <w:right w:w="108" w:type="dxa"/>
          </w:tblCellMar>
        </w:tblPrEx>
        <w:trPr>
          <w:cantSplit/>
          <w:trHeight w:val="517" w:hRule="atLeast"/>
        </w:trPr>
        <w:tc>
          <w:tcPr>
            <w:tcW w:w="678" w:type="pct"/>
            <w:tcBorders>
              <w:top w:val="single" w:color="auto" w:sz="4" w:space="0"/>
              <w:left w:val="single" w:color="auto" w:sz="4" w:space="0"/>
              <w:bottom w:val="single" w:color="auto" w:sz="4" w:space="0"/>
              <w:right w:val="single" w:color="008000" w:sz="4" w:space="0"/>
            </w:tcBorders>
            <w:vAlign w:val="center"/>
          </w:tcPr>
          <w:p w14:paraId="78A0B45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黄舒城</w:t>
            </w:r>
          </w:p>
        </w:tc>
        <w:tc>
          <w:tcPr>
            <w:tcW w:w="769" w:type="pct"/>
            <w:tcBorders>
              <w:top w:val="single" w:color="auto" w:sz="4" w:space="0"/>
              <w:left w:val="single" w:color="auto" w:sz="4" w:space="0"/>
              <w:bottom w:val="single" w:color="auto" w:sz="4" w:space="0"/>
              <w:right w:val="single" w:color="auto" w:sz="4" w:space="0"/>
            </w:tcBorders>
            <w:vAlign w:val="center"/>
          </w:tcPr>
          <w:p w14:paraId="4832CC7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高级工程师/测绘技术团推负责人</w:t>
            </w:r>
          </w:p>
        </w:tc>
        <w:tc>
          <w:tcPr>
            <w:tcW w:w="1122" w:type="pct"/>
            <w:tcBorders>
              <w:top w:val="single" w:color="000000" w:sz="2" w:space="0"/>
              <w:left w:val="single" w:color="auto" w:sz="4" w:space="0"/>
              <w:bottom w:val="single" w:color="auto" w:sz="4" w:space="0"/>
              <w:right w:val="single" w:color="auto" w:sz="4" w:space="0"/>
            </w:tcBorders>
            <w:vAlign w:val="center"/>
          </w:tcPr>
          <w:p w14:paraId="5D56111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广西交通职业技术学院</w:t>
            </w:r>
          </w:p>
        </w:tc>
        <w:tc>
          <w:tcPr>
            <w:tcW w:w="2429" w:type="pct"/>
            <w:tcBorders>
              <w:top w:val="single" w:color="auto" w:sz="4" w:space="0"/>
              <w:left w:val="single" w:color="auto" w:sz="4" w:space="0"/>
              <w:bottom w:val="single" w:color="auto" w:sz="4" w:space="0"/>
              <w:right w:val="single" w:color="auto" w:sz="4" w:space="0"/>
            </w:tcBorders>
            <w:vAlign w:val="center"/>
          </w:tcPr>
          <w:p w14:paraId="088DC88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sz w:val="24"/>
                <w:lang w:val="en-US" w:eastAsia="zh-CN"/>
              </w:rPr>
            </w:pPr>
            <w:r>
              <w:rPr>
                <w:rFonts w:hint="eastAsia" w:ascii="Times New Roman" w:hAnsi="Times New Roman" w:eastAsia="仿宋" w:cs="Times New Roman"/>
                <w:b w:val="0"/>
                <w:bCs w:val="0"/>
                <w:color w:val="auto"/>
                <w:sz w:val="24"/>
                <w:lang w:val="en-US" w:eastAsia="zh-CN"/>
              </w:rPr>
              <w:t>参与标准文本及编制说明的编写；组织开展标准征求意见会；对标准实施情况进行总结分析，不断对标准提出修正意见。</w:t>
            </w:r>
          </w:p>
        </w:tc>
      </w:tr>
      <w:tr w14:paraId="4DA1CFF8">
        <w:tblPrEx>
          <w:tblCellMar>
            <w:top w:w="0" w:type="dxa"/>
            <w:left w:w="108" w:type="dxa"/>
            <w:bottom w:w="0" w:type="dxa"/>
            <w:right w:w="108" w:type="dxa"/>
          </w:tblCellMar>
        </w:tblPrEx>
        <w:trPr>
          <w:cantSplit/>
          <w:trHeight w:val="517" w:hRule="atLeast"/>
        </w:trPr>
        <w:tc>
          <w:tcPr>
            <w:tcW w:w="678" w:type="pct"/>
            <w:tcBorders>
              <w:top w:val="single" w:color="auto" w:sz="4" w:space="0"/>
              <w:left w:val="single" w:color="auto" w:sz="4" w:space="0"/>
              <w:bottom w:val="single" w:color="auto" w:sz="4" w:space="0"/>
              <w:right w:val="single" w:color="008000" w:sz="4" w:space="0"/>
            </w:tcBorders>
            <w:shd w:val="clear"/>
            <w:vAlign w:val="center"/>
          </w:tcPr>
          <w:p w14:paraId="4CA4C78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kern w:val="2"/>
                <w:sz w:val="24"/>
                <w:szCs w:val="24"/>
                <w:lang w:val="en-US" w:eastAsia="zh-CN" w:bidi="ar-SA"/>
              </w:rPr>
            </w:pPr>
            <w:bookmarkStart w:id="3" w:name="_GoBack"/>
            <w:bookmarkEnd w:id="3"/>
            <w:r>
              <w:rPr>
                <w:rFonts w:hint="eastAsia" w:eastAsia="仿宋" w:cs="Times New Roman"/>
                <w:b w:val="0"/>
                <w:bCs w:val="0"/>
                <w:color w:val="auto"/>
                <w:sz w:val="24"/>
                <w:lang w:val="en-US" w:eastAsia="zh-CN"/>
              </w:rPr>
              <w:t>罗安仲</w:t>
            </w:r>
          </w:p>
        </w:tc>
        <w:tc>
          <w:tcPr>
            <w:tcW w:w="769" w:type="pct"/>
            <w:tcBorders>
              <w:top w:val="single" w:color="auto" w:sz="4" w:space="0"/>
              <w:left w:val="single" w:color="auto" w:sz="4" w:space="0"/>
              <w:bottom w:val="single" w:color="auto" w:sz="4" w:space="0"/>
              <w:right w:val="single" w:color="auto" w:sz="4" w:space="0"/>
            </w:tcBorders>
            <w:shd w:val="clear"/>
            <w:vAlign w:val="center"/>
          </w:tcPr>
          <w:p w14:paraId="665A8C9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kern w:val="2"/>
                <w:sz w:val="24"/>
                <w:szCs w:val="24"/>
                <w:lang w:val="en-US" w:eastAsia="zh-CN" w:bidi="ar-SA"/>
              </w:rPr>
            </w:pPr>
            <w:r>
              <w:rPr>
                <w:rFonts w:hint="eastAsia" w:eastAsia="仿宋" w:cs="Times New Roman"/>
                <w:b w:val="0"/>
                <w:bCs w:val="0"/>
                <w:color w:val="auto"/>
                <w:sz w:val="24"/>
                <w:lang w:val="en-US" w:eastAsia="zh-CN"/>
              </w:rPr>
              <w:t>高级工程师</w:t>
            </w:r>
          </w:p>
        </w:tc>
        <w:tc>
          <w:tcPr>
            <w:tcW w:w="1122" w:type="pct"/>
            <w:tcBorders>
              <w:top w:val="single" w:color="000000" w:sz="2" w:space="0"/>
              <w:left w:val="single" w:color="auto" w:sz="4" w:space="0"/>
              <w:bottom w:val="single" w:color="auto" w:sz="4" w:space="0"/>
              <w:right w:val="single" w:color="auto" w:sz="4" w:space="0"/>
            </w:tcBorders>
            <w:shd w:val="clear"/>
            <w:vAlign w:val="center"/>
          </w:tcPr>
          <w:p w14:paraId="27D3556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kern w:val="2"/>
                <w:sz w:val="24"/>
                <w:szCs w:val="24"/>
                <w:lang w:val="en-US" w:eastAsia="zh-CN" w:bidi="ar-SA"/>
              </w:rPr>
            </w:pPr>
            <w:r>
              <w:rPr>
                <w:rFonts w:hint="eastAsia" w:ascii="Times New Roman" w:hAnsi="Times New Roman" w:eastAsia="仿宋" w:cs="Times New Roman"/>
                <w:b w:val="0"/>
                <w:bCs w:val="0"/>
                <w:color w:val="auto"/>
                <w:sz w:val="24"/>
                <w:lang w:val="en-US" w:eastAsia="zh-CN"/>
              </w:rPr>
              <w:t>广西和谦工程咨询有限公司</w:t>
            </w:r>
          </w:p>
        </w:tc>
        <w:tc>
          <w:tcPr>
            <w:tcW w:w="2429" w:type="pct"/>
            <w:tcBorders>
              <w:top w:val="single" w:color="auto" w:sz="4" w:space="0"/>
              <w:left w:val="single" w:color="auto" w:sz="4" w:space="0"/>
              <w:bottom w:val="single" w:color="auto" w:sz="4" w:space="0"/>
              <w:right w:val="single" w:color="auto" w:sz="4" w:space="0"/>
            </w:tcBorders>
            <w:shd w:val="clear"/>
            <w:vAlign w:val="center"/>
          </w:tcPr>
          <w:p w14:paraId="6466476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color w:val="auto"/>
                <w:kern w:val="2"/>
                <w:sz w:val="24"/>
                <w:szCs w:val="24"/>
                <w:lang w:val="en-US" w:eastAsia="zh-CN" w:bidi="ar-SA"/>
              </w:rPr>
            </w:pPr>
            <w:r>
              <w:rPr>
                <w:rFonts w:hint="eastAsia" w:ascii="Times New Roman" w:hAnsi="Times New Roman" w:eastAsia="仿宋" w:cs="Times New Roman"/>
                <w:b w:val="0"/>
                <w:bCs w:val="0"/>
                <w:color w:val="auto"/>
                <w:sz w:val="24"/>
                <w:lang w:val="en-US" w:eastAsia="zh-CN"/>
              </w:rPr>
              <w:t>参与标准文本及编制说明的编写；组织开展标准征求意见会；对标准实施情况进行总结分析，不断对标准提出修正意见。</w:t>
            </w:r>
          </w:p>
        </w:tc>
      </w:tr>
    </w:tbl>
    <w:p w14:paraId="6BE1CEB3">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二、制定标准的必要性和意义</w:t>
      </w:r>
    </w:p>
    <w:p w14:paraId="50C39573">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2025年12月24日，广西全区经济工作会议在南宁召开，重点强调明年要重点抓好十方面工作，其中包括:聚焦聚力发展壮大智能经济，坚持“北上广研发+广西集成+东盟应用”发展路径，加快建设中国一东盟国家人工智能应用合作中心，布局建设人工智能基础设施，深入实施“人工智能+”行动，深化人工智能与制造业融合，在“A超”联赛基础上合办“百业千企AI转型联合大赛”，让AI成为推动广西产业升级、企业转型的重要引擎。</w:t>
      </w:r>
    </w:p>
    <w:p w14:paraId="35EAD802">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低空经济是推动经济高质量发展的重要引擎，无人机三维建模作为其关键技术应用之一，在智慧城市、国土测绘、文化遗产保护、应急监测等领域具有广泛前景。广西作为面向东盟的开放门户，具有与东盟深化产业合作的独特区位与政策优势。东盟国家占据着得天独厚的地理优势，拥有着丰富的自然资源，诸如农业资源、矿产资源、渔业资源等，随着城市化进程加快，在基础设施建设、资源调查、环境监测等方面对高效、精准的三维地理信息需求日益增长。无人机三维建模技术可大幅提升测绘效率、降低作业成本，适用于复杂地形与大面积区域的数据采集。立足中国一东盟开放合作前沿，广西正加速打造面向东盟的低空经济产业高地。作为中国一东盟民航合作交流中心秘书处单位，广西交通职业技术学院于2024年11月成功承办“西部陆海新通道民航发展论坛”，汇聚了中国及东盟国家400余名政企代表，共商区域航空合作大计，现场签约9个重点项目。学校的广西低空交通创新应用中心已成为重要的国际交流平台，吸引了泰国、马来西亚等东盟国家政府、企业前来考察调研，初步形成“东盟枢纽+特色场景”的国际化发展模式，为低空经济注入了强劲的国际动能。2025年5月14日，泰国东盟企业家协会代表团专程到访该中心，深入考察无人机多样化应用场景，并亲身体验了载人和无人机的培训项目。同时广西交通职业技术学院与东盟国家高校(如越南、泰国、菲律宾等)开展合作办学与交流活动，接待东盟国家高校代表团参观考察，分享低空技术培训经验，推动无人机三维建模技术在东盟地区的应用与人才培养合作。</w:t>
      </w:r>
    </w:p>
    <w:p w14:paraId="37E1F325">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广西交通职业技术学院建设的广西低空交通创新应用中心，目前已入驻28家低空经济相关企业，配备无人机、激光雷达、热成像仪等先进设备，可实现无人机厘米级三维建模、全天候数据采集与应急救援模拟训练。截至2025年6月，中心已开展飞手执照+场景技能培训16期，累计培训飞手400余人;开展无人机技术技能培训20余期，累计培训包括东盟国家学员在内的无人机技术技能人才1600余人。此外，中心还积极履行社会责任，2024年为300余名退役士兵提供专业的无人机操控专项培训，并与学校后勤保障部门联动，为学员提供了涵盖饮食、住宿、交通的“一站式”服务，取得了良</w:t>
      </w:r>
    </w:p>
    <w:p w14:paraId="71A25A16">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好的效果。随着我国与东盟国家在无人机技术领域交流合作的不断深化，无人机三维建模技术已得到广泛应用。市场对于无人机三维建模的人才需求广阔，急需培养具备实际操作能力、熟悉当地政策与文化背景的专业人才，提升我国技术服务输出的竞争力。然而目前无人机三维建模培训存在教学内容不一、技能标准不统一、培训质量参差不齐等问题。制定团体标准能够明确培训内容、教学要求、考核评价等关键环节，涵盖从设备操作、数据采集、模型构建到分析应用的全流程技能，确保学员掌握符合行业要求的核心能力。标准化培训也有利于推动“培训一认证一就业”闭环的形成，提高人才的市场适应性与国际认可度。</w:t>
      </w:r>
    </w:p>
    <w:p w14:paraId="672E1EA7">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通过制定团体标准《无人机三维建模培训服务规范》，以标准为抓手，统一规范面向东盟无人机三维建模培训服务要求，对提高面向东盟无人机三维建模培训服务水平，推动无人机技术的广泛应用和行业的健康发展，加快打造面向东盟的低空经济产业集聚区具有重要意义。因此制定团体标准《无人机三维建模培训服务规范》很有必要。</w:t>
      </w:r>
    </w:p>
    <w:p w14:paraId="64CFA7E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三、主要起草过程</w:t>
      </w:r>
    </w:p>
    <w:p w14:paraId="0D6A5644">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olor w:val="auto"/>
          <w:sz w:val="32"/>
          <w:szCs w:val="28"/>
        </w:rPr>
      </w:pPr>
      <w:r>
        <w:rPr>
          <w:rFonts w:hint="eastAsia" w:ascii="楷体" w:hAnsi="楷体" w:eastAsia="楷体" w:cs="仿宋_GB2312"/>
          <w:b/>
          <w:color w:val="auto"/>
          <w:sz w:val="32"/>
          <w:szCs w:val="28"/>
        </w:rPr>
        <w:t>（一）成立标准编制工作组</w:t>
      </w:r>
    </w:p>
    <w:p w14:paraId="437C2B6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团体标准《无人机三维建模培训服务规范》项目任务下达后</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广西交通职业技术学院</w:t>
      </w:r>
      <w:r>
        <w:rPr>
          <w:rFonts w:hint="eastAsia" w:ascii="仿宋_GB2312" w:hAnsi="宋体" w:eastAsia="仿宋_GB2312"/>
          <w:color w:val="auto"/>
          <w:sz w:val="32"/>
          <w:szCs w:val="28"/>
          <w:highlight w:val="none"/>
        </w:rPr>
        <w:t>成立了标准编制工作组，</w:t>
      </w:r>
      <w:r>
        <w:rPr>
          <w:rFonts w:hint="eastAsia" w:ascii="仿宋_GB2312" w:hAnsi="宋体"/>
          <w:color w:val="auto"/>
          <w:sz w:val="32"/>
          <w:szCs w:val="28"/>
          <w:highlight w:val="none"/>
          <w:lang w:val="en-US" w:eastAsia="zh-CN"/>
        </w:rPr>
        <w:t>并</w:t>
      </w:r>
      <w:r>
        <w:rPr>
          <w:rFonts w:hint="eastAsia" w:ascii="仿宋_GB2312" w:hAnsi="宋体" w:eastAsia="仿宋_GB2312"/>
          <w:color w:val="auto"/>
          <w:sz w:val="32"/>
          <w:szCs w:val="28"/>
          <w:highlight w:val="none"/>
        </w:rPr>
        <w:t>制定了起草编写方案与进度安排，明确任务职责，确定工作技术路线，开展标准研制工作。具体标准编制工作由</w:t>
      </w:r>
      <w:r>
        <w:rPr>
          <w:rFonts w:hint="eastAsia" w:ascii="仿宋_GB2312" w:hAnsi="宋体"/>
          <w:color w:val="auto"/>
          <w:sz w:val="32"/>
          <w:szCs w:val="28"/>
          <w:highlight w:val="none"/>
          <w:lang w:val="en-US" w:eastAsia="zh-CN"/>
        </w:rPr>
        <w:t>广西交通职业技术学院、展视网(北京)科技有限公司、广西和谦工程咨询有限公司</w:t>
      </w:r>
      <w:r>
        <w:rPr>
          <w:rFonts w:hint="eastAsia" w:ascii="仿宋_GB2312" w:hAnsi="宋体" w:eastAsia="仿宋_GB2312"/>
          <w:color w:val="auto"/>
          <w:sz w:val="32"/>
          <w:szCs w:val="28"/>
          <w:highlight w:val="none"/>
        </w:rPr>
        <w:t>等单位负责人组成的标</w:t>
      </w:r>
      <w:r>
        <w:rPr>
          <w:rFonts w:hint="eastAsia" w:ascii="仿宋_GB2312" w:hAnsi="宋体" w:eastAsia="仿宋_GB2312"/>
          <w:color w:val="auto"/>
          <w:sz w:val="32"/>
          <w:szCs w:val="28"/>
        </w:rPr>
        <w:t>准编制工作组完成。</w:t>
      </w:r>
    </w:p>
    <w:p w14:paraId="0D99A07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编制工作组下设三个组，分别是资料收集组、草案编写组、标准实施组。</w:t>
      </w:r>
    </w:p>
    <w:p w14:paraId="59AE398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资料收集组负责国内外有关无人机三维建模培训服务的文献资料的查询、收集和整理工作，查阅前人对无人机三维建模培训服务的研究情况。</w:t>
      </w:r>
    </w:p>
    <w:p w14:paraId="0BE25F7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标准实施组负责团体标准《无人机三维建模培训服务</w:t>
      </w:r>
      <w:r>
        <w:rPr>
          <w:rFonts w:hint="eastAsia" w:ascii="仿宋_GB2312" w:hAnsi="宋体"/>
          <w:color w:val="auto"/>
          <w:sz w:val="32"/>
          <w:szCs w:val="28"/>
          <w:lang w:val="en-US" w:eastAsia="zh-CN"/>
        </w:rPr>
        <w:t>规范</w:t>
      </w:r>
      <w:r>
        <w:rPr>
          <w:rFonts w:hint="eastAsia" w:ascii="仿宋_GB2312" w:hAnsi="宋体" w:eastAsia="仿宋_GB2312"/>
          <w:color w:val="auto"/>
          <w:sz w:val="32"/>
          <w:szCs w:val="28"/>
        </w:rPr>
        <w:t>》发布后，组织相关企事业单位开展标准宣贯培训会，对标准进行详细解读，让相关人员了解标准，并根据标准对无人机三维建模培训进行规范化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（二）收集整理文献资料</w:t>
      </w:r>
    </w:p>
    <w:p w14:paraId="2B9611BD">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lang w:val="fr-FR"/>
        </w:rPr>
      </w:pPr>
      <w:r>
        <w:rPr>
          <w:rFonts w:hint="eastAsia" w:ascii="仿宋_GB2312" w:hAnsi="宋体" w:eastAsia="仿宋_GB2312"/>
          <w:color w:val="auto"/>
          <w:sz w:val="32"/>
          <w:szCs w:val="28"/>
        </w:rPr>
        <w:t>标准编制工作组收集了国内有关无人机三维建模培训服务相关文献资料。主要有</w:t>
      </w:r>
      <w:r>
        <w:rPr>
          <w:rFonts w:hint="eastAsia" w:ascii="仿宋_GB2312" w:hAnsi="宋体" w:eastAsia="仿宋_GB2312"/>
          <w:color w:val="auto"/>
          <w:sz w:val="32"/>
          <w:szCs w:val="28"/>
          <w:lang w:val="fr-FR"/>
        </w:rPr>
        <w:t>：</w:t>
      </w:r>
    </w:p>
    <w:p w14:paraId="3D9F22CB">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NB/T</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11664-2024 水电工程倾斜摄影实景三维建模技术规程</w:t>
      </w:r>
    </w:p>
    <w:p w14:paraId="52426485">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DB23/T</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3437-2023 城市实景三维建模技术规程</w:t>
      </w:r>
    </w:p>
    <w:p w14:paraId="07B26D64">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GB/T</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41447-2022 城市地下空间三维建模技术规范</w:t>
      </w:r>
    </w:p>
    <w:p w14:paraId="7454B624">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DB50/T</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393-2011 城市三维建模技术规范</w:t>
      </w:r>
    </w:p>
    <w:p w14:paraId="49B44F91">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T/COS0CC</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024-2024 城市数字孪生三维建模要求</w:t>
      </w:r>
    </w:p>
    <w:p w14:paraId="373342B9">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T/GAAI</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003-2023 倾斜摄影测量实景三维建模技术规程</w:t>
      </w:r>
    </w:p>
    <w:p w14:paraId="44937C7D">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（三）研讨确定标准</w:t>
      </w:r>
      <w:r>
        <w:rPr>
          <w:rFonts w:hint="eastAsia" w:ascii="楷体" w:hAnsi="楷体" w:eastAsia="楷体" w:cs="仿宋_GB2312"/>
          <w:b/>
          <w:color w:val="auto"/>
          <w:sz w:val="32"/>
          <w:szCs w:val="28"/>
          <w:lang w:val="en-US" w:eastAsia="zh-CN"/>
        </w:rPr>
        <w:t>特色、创新点、</w:t>
      </w:r>
      <w:r>
        <w:rPr>
          <w:rFonts w:hint="eastAsia" w:ascii="楷体" w:hAnsi="楷体" w:eastAsia="楷体" w:cs="仿宋_GB2312"/>
          <w:b/>
          <w:color w:val="auto"/>
          <w:sz w:val="32"/>
          <w:szCs w:val="28"/>
        </w:rPr>
        <w:t>主体内容</w:t>
      </w:r>
    </w:p>
    <w:p w14:paraId="2963878A">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1、创新点</w:t>
      </w:r>
    </w:p>
    <w:p w14:paraId="58072774">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（1）通过合理配置东盟籍教师比例，要求教学软件、机型适应东盟地区特点，并建立了与东盟国家的联合认证及跨境数据合规机制，解决了技术与地理环境不适配的痛点。</w:t>
      </w:r>
    </w:p>
    <w:p w14:paraId="6465E30B">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2）设置包含复杂地形的实战场地、建立每年更新不低于15%的企业真实案例库，并将LiDAR等前沿载荷纳入常规教学，学员在掌握数据采集与处理全流程技能的同时，直接对接行业实际需求，培养既精通专业技术、又熟悉东盟区域规则的复合型三维建模技术人才。</w:t>
      </w:r>
    </w:p>
    <w:p w14:paraId="2A81DD5F">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28"/>
          <w:lang w:val="en-US" w:eastAsia="zh-CN"/>
        </w:rPr>
      </w:pPr>
      <w:r>
        <w:rPr>
          <w:rFonts w:hint="eastAsia" w:ascii="仿宋_GB2312" w:hAnsi="宋体"/>
          <w:color w:val="auto"/>
          <w:sz w:val="32"/>
          <w:szCs w:val="28"/>
          <w:lang w:val="en-US" w:eastAsia="zh-CN"/>
        </w:rPr>
        <w:t>2、主体内容</w:t>
      </w:r>
    </w:p>
    <w:p w14:paraId="691B939C">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ascii="仿宋_GB2312" w:hAnsi="宋体"/>
          <w:color w:val="auto"/>
          <w:sz w:val="32"/>
          <w:szCs w:val="28"/>
          <w:lang w:val="en-US" w:eastAsia="zh-CN"/>
        </w:rPr>
        <w:t>术语和定义、</w:t>
      </w:r>
      <w:r>
        <w:rPr>
          <w:rFonts w:hint="eastAsia" w:ascii="仿宋_GB2312" w:hAnsi="宋体"/>
          <w:color w:val="auto"/>
          <w:sz w:val="32"/>
          <w:szCs w:val="28"/>
          <w:highlight w:val="none"/>
          <w:lang w:val="en-US" w:eastAsia="zh-CN"/>
        </w:rPr>
        <w:t>基本要求、培训对象、培训形式、培训时长、培训内容、培训服务流程及要求、信息公开、投诉处理、服务评价与改进、档案管理</w:t>
      </w:r>
      <w:r>
        <w:rPr>
          <w:rFonts w:hint="eastAsia" w:ascii="仿宋_GB2312" w:hAnsi="宋体" w:eastAsia="仿宋_GB2312"/>
          <w:color w:val="auto"/>
          <w:sz w:val="32"/>
          <w:szCs w:val="28"/>
        </w:rPr>
        <w:t>。</w:t>
      </w:r>
    </w:p>
    <w:p w14:paraId="61FABD7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（四）调研及形成草案、征求意见稿</w:t>
      </w:r>
    </w:p>
    <w:p w14:paraId="6B43200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25</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12</w:t>
      </w:r>
      <w:r>
        <w:rPr>
          <w:rFonts w:hint="eastAsia" w:ascii="仿宋_GB2312" w:hAnsi="宋体" w:eastAsia="仿宋_GB2312"/>
          <w:color w:val="auto"/>
          <w:sz w:val="32"/>
          <w:szCs w:val="28"/>
        </w:rPr>
        <w:t>月</w:t>
      </w:r>
      <w:r>
        <w:rPr>
          <w:rFonts w:hint="eastAsia" w:ascii="仿宋_GB2312" w:hAnsi="宋体"/>
          <w:color w:val="auto"/>
          <w:sz w:val="32"/>
          <w:szCs w:val="28"/>
          <w:lang w:val="en-US" w:eastAsia="zh-CN"/>
        </w:rPr>
        <w:t>-2026年2月</w:t>
      </w:r>
      <w:r>
        <w:rPr>
          <w:rFonts w:hint="eastAsia" w:ascii="仿宋_GB2312" w:hAnsi="宋体" w:eastAsia="仿宋_GB2312"/>
          <w:color w:val="auto"/>
          <w:sz w:val="32"/>
          <w:szCs w:val="28"/>
        </w:rPr>
        <w:t>，标准起草工作小组进行了广泛调研工作，查阅了大量的国内外文献资料，对无人机三维建模培训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4-5</w:t>
      </w:r>
      <w:r>
        <w:rPr>
          <w:rFonts w:hint="eastAsia" w:ascii="仿宋_GB2312" w:hAnsi="宋体" w:eastAsia="仿宋_GB2312"/>
          <w:color w:val="auto"/>
          <w:sz w:val="32"/>
          <w:szCs w:val="28"/>
        </w:rPr>
        <w:t>月，在前期工作的基础之上，通过理清逻辑脉络，整合已有的参考资料中有关无人机三维建模培训要求，并结合无人机三维建模培训</w:t>
      </w:r>
      <w:r>
        <w:rPr>
          <w:rFonts w:hint="eastAsia" w:ascii="仿宋_GB2312" w:hAnsi="宋体"/>
          <w:color w:val="auto"/>
          <w:sz w:val="32"/>
          <w:szCs w:val="28"/>
          <w:lang w:val="en-US" w:eastAsia="zh-CN"/>
        </w:rPr>
        <w:t>服务</w:t>
      </w:r>
      <w:r>
        <w:rPr>
          <w:rFonts w:hint="eastAsia" w:ascii="仿宋_GB2312" w:hAnsi="宋体" w:eastAsia="仿宋_GB2312"/>
          <w:color w:val="auto"/>
          <w:sz w:val="32"/>
          <w:szCs w:val="28"/>
        </w:rPr>
        <w:t>实际要求的基础上，按照简化、统一等原则编制完成团体标准《无人机三维建模培训</w:t>
      </w:r>
      <w:r>
        <w:rPr>
          <w:rFonts w:hint="eastAsia" w:ascii="仿宋_GB2312" w:hAnsi="宋体"/>
          <w:color w:val="auto"/>
          <w:sz w:val="32"/>
          <w:szCs w:val="28"/>
          <w:lang w:val="en-US" w:eastAsia="zh-CN"/>
        </w:rPr>
        <w:t>服务规范</w:t>
      </w:r>
      <w:r>
        <w:rPr>
          <w:rFonts w:hint="eastAsia" w:ascii="仿宋_GB2312" w:hAnsi="宋体" w:eastAsia="仿宋_GB2312"/>
          <w:color w:val="auto"/>
          <w:sz w:val="32"/>
          <w:szCs w:val="28"/>
        </w:rPr>
        <w:t>》（草案）。</w:t>
      </w:r>
    </w:p>
    <w:p w14:paraId="1F6A96F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6</w:t>
      </w:r>
      <w:r>
        <w:rPr>
          <w:rFonts w:hint="eastAsia" w:ascii="仿宋_GB2312" w:hAnsi="宋体" w:eastAsia="仿宋_GB2312"/>
          <w:color w:val="auto"/>
          <w:sz w:val="32"/>
          <w:szCs w:val="28"/>
        </w:rPr>
        <w:t>月，标准起草工作组到</w:t>
      </w:r>
      <w:r>
        <w:rPr>
          <w:rFonts w:ascii="仿宋_GB2312" w:hAnsi="宋体" w:eastAsia="仿宋_GB2312"/>
          <w:color w:val="auto"/>
          <w:sz w:val="32"/>
          <w:szCs w:val="28"/>
        </w:rPr>
        <w:t>相关单位和科研机构进行调研，开展</w:t>
      </w:r>
      <w:r>
        <w:rPr>
          <w:rFonts w:hint="eastAsia" w:ascii="仿宋_GB2312" w:hAnsi="宋体"/>
          <w:color w:val="auto"/>
          <w:sz w:val="32"/>
          <w:szCs w:val="28"/>
          <w:lang w:val="en-US" w:eastAsia="zh-CN"/>
        </w:rPr>
        <w:t>实践</w:t>
      </w:r>
      <w:r>
        <w:rPr>
          <w:rFonts w:ascii="仿宋_GB2312" w:hAnsi="宋体" w:eastAsia="仿宋_GB2312"/>
          <w:color w:val="auto"/>
          <w:sz w:val="32"/>
          <w:szCs w:val="28"/>
        </w:rPr>
        <w:t>验证</w:t>
      </w:r>
      <w:r>
        <w:rPr>
          <w:rFonts w:hint="eastAsia" w:ascii="仿宋_GB2312" w:hAnsi="宋体"/>
          <w:color w:val="auto"/>
          <w:sz w:val="32"/>
          <w:szCs w:val="28"/>
          <w:lang w:eastAsia="zh-CN"/>
        </w:rPr>
        <w:t>，</w:t>
      </w:r>
      <w:r>
        <w:rPr>
          <w:rFonts w:hint="eastAsia" w:ascii="仿宋_GB2312" w:hAnsi="宋体" w:eastAsia="仿宋_GB2312"/>
          <w:color w:val="auto"/>
          <w:sz w:val="32"/>
          <w:szCs w:val="28"/>
        </w:rPr>
        <w:t>并实际征求意见，通过收集反馈了大量意见，标准编制工作组多次召开会议，对标准草案进行了反复修改和研究讨论。进一步讨论完善标准草案，形成团体标准《无人机三维建模培训</w:t>
      </w:r>
      <w:r>
        <w:rPr>
          <w:rFonts w:hint="eastAsia" w:ascii="仿宋_GB2312" w:hAnsi="宋体"/>
          <w:color w:val="auto"/>
          <w:sz w:val="32"/>
          <w:szCs w:val="28"/>
          <w:lang w:val="en-US" w:eastAsia="zh-CN"/>
        </w:rPr>
        <w:t>服务规范</w:t>
      </w:r>
      <w:r>
        <w:rPr>
          <w:rFonts w:hint="eastAsia" w:ascii="仿宋_GB2312" w:hAnsi="宋体" w:eastAsia="仿宋_GB2312"/>
          <w:color w:val="auto"/>
          <w:sz w:val="32"/>
          <w:szCs w:val="28"/>
        </w:rPr>
        <w:t>》（征求意见稿）和（征求意见稿）编制说明。</w:t>
      </w:r>
    </w:p>
    <w:p w14:paraId="3B832357">
      <w:pPr>
        <w:keepNext w:val="0"/>
        <w:keepLines w:val="0"/>
        <w:pageBreakBefore w:val="0"/>
        <w:kinsoku/>
        <w:overflowPunct/>
        <w:topLinePunct w:val="0"/>
        <w:autoSpaceDE w:val="0"/>
        <w:autoSpaceDN w:val="0"/>
        <w:bidi w:val="0"/>
        <w:adjustRightInd w:val="0"/>
        <w:snapToGrid/>
        <w:ind w:left="0"/>
        <w:jc w:val="left"/>
        <w:textAlignment w:val="auto"/>
        <w:rPr>
          <w:rFonts w:eastAsia="黑体"/>
          <w:bCs/>
          <w:color w:val="auto"/>
          <w:sz w:val="32"/>
          <w:szCs w:val="32"/>
        </w:rPr>
      </w:pPr>
      <w:bookmarkStart w:id="0" w:name="_Toc526940083"/>
      <w:r>
        <w:rPr>
          <w:rFonts w:eastAsia="黑体"/>
          <w:bCs/>
          <w:color w:val="auto"/>
          <w:sz w:val="32"/>
          <w:szCs w:val="32"/>
        </w:rPr>
        <w:t>四、</w:t>
      </w:r>
      <w:bookmarkEnd w:id="0"/>
      <w:r>
        <w:rPr>
          <w:rFonts w:eastAsia="黑体"/>
          <w:bCs/>
          <w:color w:val="auto"/>
          <w:sz w:val="32"/>
          <w:szCs w:val="32"/>
        </w:rPr>
        <w:t>制定标准的原则和依据，与现行法律、法规的关系，与有关国家标准、行业标准的协调情况</w:t>
      </w:r>
    </w:p>
    <w:p w14:paraId="30EFA250">
      <w:pPr>
        <w:pStyle w:val="10"/>
        <w:keepNext w:val="0"/>
        <w:keepLines w:val="0"/>
        <w:pageBreakBefore w:val="0"/>
        <w:kinsoku/>
        <w:overflowPunct/>
        <w:topLinePunct w:val="0"/>
        <w:bidi w:val="0"/>
        <w:snapToGrid/>
        <w:spacing w:line="560" w:lineRule="exact"/>
        <w:ind w:left="0" w:firstLine="0" w:firstLineChars="0"/>
        <w:textAlignment w:val="auto"/>
        <w:outlineLvl w:val="1"/>
        <w:rPr>
          <w:rFonts w:ascii="Times New Roman" w:eastAsia="仿宋"/>
          <w:b/>
          <w:bCs/>
          <w:color w:val="auto"/>
          <w:sz w:val="32"/>
          <w:szCs w:val="32"/>
        </w:rPr>
      </w:pPr>
      <w:r>
        <w:rPr>
          <w:rFonts w:ascii="Times New Roman" w:eastAsia="仿宋"/>
          <w:b/>
          <w:bCs/>
          <w:color w:val="auto"/>
          <w:sz w:val="32"/>
          <w:szCs w:val="32"/>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eastAsia="仿宋"/>
          <w:b/>
          <w:bCs/>
          <w:color w:val="auto"/>
          <w:kern w:val="0"/>
          <w:sz w:val="32"/>
          <w:szCs w:val="32"/>
        </w:rPr>
        <w:t>1、实用性原则</w:t>
      </w:r>
    </w:p>
    <w:p w14:paraId="096AD80F">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本文件是在充分收集相关资料和文献，分析无人机三维建模培训当前现状，在现有相关无人机三维建模培训要求的基础上，结合编制单位</w:t>
      </w:r>
      <w:r>
        <w:rPr>
          <w:rFonts w:ascii="仿宋_GB2312" w:hAnsi="宋体" w:eastAsia="仿宋_GB2312"/>
          <w:color w:val="auto"/>
          <w:sz w:val="32"/>
          <w:szCs w:val="28"/>
        </w:rPr>
        <w:t>多年</w:t>
      </w:r>
      <w:r>
        <w:rPr>
          <w:rFonts w:hint="eastAsia" w:ascii="仿宋_GB2312" w:hAnsi="宋体" w:eastAsia="仿宋_GB2312"/>
          <w:color w:val="auto"/>
          <w:sz w:val="32"/>
          <w:szCs w:val="28"/>
        </w:rPr>
        <w:t>相关经验而总结起草的，符合当前无人机三维建模培训发展的方向，具有较强的实用性和可操作性。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2、协调性原则</w:t>
      </w:r>
    </w:p>
    <w:p w14:paraId="18A3383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本文件编写过程中注意了与无人机三维建模培训相关法律法规的协调问题，在内容上与现行法律法规、标准协调一致。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3、规范性原则</w:t>
      </w:r>
    </w:p>
    <w:p w14:paraId="3276EBB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4、前瞻性原则</w:t>
      </w:r>
    </w:p>
    <w:p w14:paraId="2315C39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本文件在兼顾当前</w:t>
      </w:r>
      <w:r>
        <w:rPr>
          <w:rFonts w:hint="eastAsia" w:ascii="仿宋_GB2312" w:hAnsi="宋体"/>
          <w:color w:val="auto"/>
          <w:sz w:val="32"/>
          <w:szCs w:val="28"/>
          <w:lang w:val="en-US" w:eastAsia="zh-CN"/>
        </w:rPr>
        <w:t>广西</w:t>
      </w:r>
      <w:r>
        <w:rPr>
          <w:rFonts w:hint="eastAsia" w:ascii="仿宋_GB2312" w:hAnsi="宋体" w:eastAsia="仿宋_GB2312"/>
          <w:color w:val="auto"/>
          <w:sz w:val="32"/>
          <w:szCs w:val="28"/>
        </w:rPr>
        <w:t>区内无人机三维建模培训现实情况的同时，还考虑到了无人机三维建模培训快速发展的趋势和需要，在标准中体现了个别特色性、前瞻性和先进性条款，作为对无人机三维建模培训发展的指导。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（二）编制依据</w:t>
      </w:r>
    </w:p>
    <w:p w14:paraId="03C8CA65">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eastAsia="仿宋"/>
          <w:color w:val="auto"/>
          <w:sz w:val="32"/>
          <w:szCs w:val="32"/>
        </w:rPr>
        <w:t>本标准严格按照GB/T 1.1—2020《标准化工作导则  第1部分：标准化文件的结构和起草规则》的规则起草，标准主要内容参考相关标准文件并结合起草单位多年的</w:t>
      </w:r>
      <w:r>
        <w:rPr>
          <w:rFonts w:hint="eastAsia" w:eastAsia="仿宋"/>
          <w:color w:val="auto"/>
          <w:sz w:val="32"/>
          <w:szCs w:val="32"/>
        </w:rPr>
        <w:t>相关</w:t>
      </w:r>
      <w:r>
        <w:rPr>
          <w:rFonts w:eastAsia="仿宋"/>
          <w:color w:val="auto"/>
          <w:sz w:val="32"/>
          <w:szCs w:val="32"/>
        </w:rPr>
        <w:t>经验</w:t>
      </w:r>
      <w:r>
        <w:rPr>
          <w:rFonts w:hint="eastAsia" w:eastAsia="仿宋"/>
          <w:color w:val="auto"/>
          <w:sz w:val="32"/>
          <w:szCs w:val="32"/>
        </w:rPr>
        <w:t>和实践</w:t>
      </w:r>
      <w:r>
        <w:rPr>
          <w:rFonts w:eastAsia="仿宋"/>
          <w:color w:val="auto"/>
          <w:sz w:val="32"/>
          <w:szCs w:val="32"/>
        </w:rPr>
        <w:t>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（三）与现行法律、法规的关系，与有关国家标准、行业标准的协调情况</w:t>
      </w:r>
    </w:p>
    <w:p w14:paraId="03FE614D">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hint="eastAsia" w:eastAsia="仿宋"/>
          <w:color w:val="auto"/>
          <w:sz w:val="32"/>
          <w:szCs w:val="32"/>
        </w:rPr>
        <w:t>本编制工作组承诺本标准内容与各项指标不违反相关法律法规要求，且不低于国家强制性标准、推荐性国家标准和行业标准要求。</w:t>
      </w:r>
    </w:p>
    <w:p w14:paraId="324BBCFA">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经查阅，与“三维建模”相关的标准主要有:</w:t>
      </w:r>
    </w:p>
    <w:p w14:paraId="2F1496B4">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lang w:eastAsia="zh-CN"/>
        </w:rPr>
      </w:pPr>
      <w:r>
        <w:rPr>
          <w:rFonts w:hint="eastAsia" w:ascii="仿宋_GB2312" w:hAnsi="宋体" w:eastAsia="仿宋_GB2312"/>
          <w:color w:val="auto"/>
          <w:sz w:val="32"/>
          <w:szCs w:val="28"/>
        </w:rPr>
        <w:t>《NB/T11664-2024 水电工程倾斜摄影实景三维建模技术规程》《DB23/T3437-2023 城市实景三维建模技术规程》《GB/T41447-2022 城市地下空间三维建模技术规范》《DB50/T393-2011 城市三维建模技术规范》T/COS0CC024-2024 城市数字孪生三维建模要求》《T/GAAI003-2023 倾斜摄影测量实景三维建模技术规程》等</w:t>
      </w:r>
      <w:r>
        <w:rPr>
          <w:rFonts w:hint="eastAsia" w:ascii="仿宋_GB2312" w:hAnsi="宋体"/>
          <w:color w:val="auto"/>
          <w:sz w:val="32"/>
          <w:szCs w:val="28"/>
          <w:lang w:eastAsia="zh-CN"/>
        </w:rPr>
        <w:t>。</w:t>
      </w:r>
    </w:p>
    <w:p w14:paraId="7FA8BB82">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综述:现有标准主要针对三维建模具体操作技术，暂无无人机三维建模培训相关的要求，因此</w:t>
      </w:r>
      <w:r>
        <w:rPr>
          <w:rFonts w:hint="eastAsia" w:ascii="仿宋_GB2312" w:hAnsi="宋体"/>
          <w:color w:val="auto"/>
          <w:sz w:val="32"/>
          <w:szCs w:val="28"/>
          <w:lang w:val="en-US" w:eastAsia="zh-CN"/>
        </w:rPr>
        <w:t>有必要</w:t>
      </w:r>
      <w:r>
        <w:rPr>
          <w:rFonts w:hint="eastAsia" w:ascii="仿宋_GB2312" w:hAnsi="宋体" w:eastAsia="仿宋_GB2312"/>
          <w:color w:val="auto"/>
          <w:sz w:val="32"/>
          <w:szCs w:val="28"/>
        </w:rPr>
        <w:t>制定团体标准《无人机三维建模培训服务规范》</w:t>
      </w:r>
      <w:r>
        <w:rPr>
          <w:rFonts w:hint="eastAsia" w:ascii="仿宋_GB2312" w:hAnsi="宋体"/>
          <w:color w:val="auto"/>
          <w:sz w:val="32"/>
          <w:szCs w:val="28"/>
          <w:lang w:eastAsia="zh-CN"/>
        </w:rPr>
        <w:t>，</w:t>
      </w:r>
      <w:r>
        <w:rPr>
          <w:rFonts w:hint="eastAsia" w:ascii="仿宋_GB2312" w:hAnsi="宋体" w:eastAsia="仿宋_GB2312"/>
          <w:color w:val="auto"/>
          <w:sz w:val="32"/>
          <w:szCs w:val="28"/>
        </w:rPr>
        <w:t>填补无人机三维建模培训的标准空白，运用标准化手段指导、规范无人机三维建模培训行业的发展。</w:t>
      </w:r>
    </w:p>
    <w:p w14:paraId="14FD2F15">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bookmarkStart w:id="1" w:name="_Toc526940084"/>
      <w:r>
        <w:rPr>
          <w:rFonts w:hint="eastAsia" w:ascii="黑体" w:hAnsi="黑体" w:eastAsia="黑体" w:cs="仿宋_GB2312"/>
          <w:color w:val="auto"/>
          <w:sz w:val="32"/>
          <w:szCs w:val="32"/>
        </w:rPr>
        <w:t>五、</w:t>
      </w:r>
      <w:bookmarkEnd w:id="1"/>
      <w:r>
        <w:rPr>
          <w:rFonts w:hint="eastAsia" w:ascii="黑体" w:hAnsi="黑体" w:eastAsia="黑体" w:cs="仿宋_GB2312"/>
          <w:color w:val="auto"/>
          <w:sz w:val="32"/>
          <w:szCs w:val="32"/>
        </w:rPr>
        <w:t>主要条款的说明</w:t>
      </w:r>
    </w:p>
    <w:p w14:paraId="45B5CAB8">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color w:val="auto"/>
          <w:sz w:val="32"/>
          <w:szCs w:val="32"/>
          <w:lang w:val="en-US" w:eastAsia="zh-CN"/>
        </w:rPr>
        <w:t>广</w:t>
      </w:r>
      <w:r>
        <w:rPr>
          <w:rFonts w:hint="eastAsia" w:ascii="仿宋_GB2312" w:hAnsi="宋体" w:eastAsia="仿宋_GB2312"/>
          <w:color w:val="auto"/>
          <w:sz w:val="32"/>
          <w:szCs w:val="32"/>
          <w:lang w:val="zh-CN"/>
        </w:rPr>
        <w:t>西交通职业技术学院建设广西低空交通创新应用中心，</w:t>
      </w:r>
      <w:r>
        <w:rPr>
          <w:rFonts w:hint="eastAsia" w:ascii="仿宋_GB2312" w:hAnsi="宋体"/>
          <w:color w:val="auto"/>
          <w:sz w:val="32"/>
          <w:szCs w:val="32"/>
          <w:lang w:val="en-US" w:eastAsia="zh-CN"/>
        </w:rPr>
        <w:t>目前</w:t>
      </w:r>
      <w:r>
        <w:rPr>
          <w:rFonts w:hint="eastAsia" w:ascii="仿宋_GB2312" w:hAnsi="宋体" w:eastAsia="仿宋_GB2312"/>
          <w:color w:val="auto"/>
          <w:sz w:val="32"/>
          <w:szCs w:val="32"/>
          <w:lang w:val="zh-CN"/>
        </w:rPr>
        <w:t>已入驻28家低空经济相关企业，配备无人机、激光雷达、热成像仪等先进设备，可实现无人机厘米级三维建模、全天候数据采集与应急救援模拟训练，为项目提供多源数据支撑与试验场景</w:t>
      </w:r>
      <w:r>
        <w:rPr>
          <w:rFonts w:hint="eastAsia" w:ascii="仿宋_GB2312" w:hAnsi="宋体"/>
          <w:color w:val="auto"/>
          <w:sz w:val="32"/>
          <w:szCs w:val="32"/>
          <w:lang w:val="zh-CN"/>
        </w:rPr>
        <w:t>。</w:t>
      </w:r>
      <w:r>
        <w:rPr>
          <w:rFonts w:hint="eastAsia" w:ascii="仿宋_GB2312" w:hAnsi="宋体" w:eastAsia="仿宋_GB2312"/>
          <w:color w:val="auto"/>
          <w:sz w:val="32"/>
          <w:szCs w:val="32"/>
          <w:lang w:val="zh-CN"/>
        </w:rPr>
        <w:t>作为广西首家政行校企共建的低空创新应用基地，广西低空交通创新应用中心</w:t>
      </w:r>
      <w:r>
        <w:rPr>
          <w:rFonts w:hint="eastAsia" w:ascii="仿宋_GB2312" w:hAnsi="宋体"/>
          <w:color w:val="auto"/>
          <w:sz w:val="32"/>
          <w:szCs w:val="32"/>
          <w:lang w:val="en-US" w:eastAsia="zh-CN"/>
        </w:rPr>
        <w:t>2025年</w:t>
      </w:r>
      <w:r>
        <w:rPr>
          <w:rFonts w:hint="eastAsia" w:ascii="仿宋_GB2312" w:hAnsi="宋体" w:eastAsia="仿宋_GB2312"/>
          <w:color w:val="auto"/>
          <w:sz w:val="32"/>
          <w:szCs w:val="32"/>
          <w:lang w:val="zh-CN"/>
        </w:rPr>
        <w:t>首创“1张飞手执照+X种场景技能”培训认证模式。学员在取得CAAC无人机执照基础上，可自主选择道路巡检、三维建模、物流运输、安全应急等多元化场景技能培训，突破单一技能局限，实现“一专多能”。</w:t>
      </w:r>
    </w:p>
    <w:p w14:paraId="6C1EDCB7">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s="Times New Roman"/>
          <w:color w:val="auto"/>
          <w:sz w:val="32"/>
          <w:szCs w:val="32"/>
          <w:lang w:val="zh-CN"/>
        </w:rPr>
      </w:pPr>
      <w:r>
        <w:rPr>
          <w:rFonts w:hint="eastAsia" w:ascii="仿宋_GB2312" w:hAnsi="宋体"/>
          <w:color w:val="auto"/>
          <w:sz w:val="32"/>
          <w:szCs w:val="32"/>
          <w:lang w:val="en-US" w:eastAsia="zh-CN"/>
        </w:rPr>
        <w:t>凭借平台优势，积极联合企业开展无人机三维建模培训，针对行业实际用人需求，结合培训场景特点开展实操+理论结合的培训模式，围绕无人机飞行作业、数据采集处理、三维模型构建、质量检查等核心模块梳理了规范的培训内容，可为培训机构开展相关培训活动提供清晰可落地的指导依据。结合起草团队无人三位建模实践，经过讨论确定</w:t>
      </w:r>
      <w:r>
        <w:rPr>
          <w:rFonts w:hint="eastAsia" w:ascii="仿宋_GB2312" w:hAnsi="宋体" w:eastAsia="仿宋_GB2312"/>
          <w:color w:val="auto"/>
          <w:sz w:val="32"/>
          <w:szCs w:val="32"/>
          <w:lang w:val="zh-CN"/>
        </w:rPr>
        <w:t>团体标准《</w:t>
      </w:r>
      <w:r>
        <w:rPr>
          <w:rFonts w:hint="eastAsia" w:ascii="仿宋_GB2312" w:hAnsi="宋体" w:eastAsia="仿宋_GB2312"/>
          <w:color w:val="auto"/>
          <w:sz w:val="32"/>
          <w:szCs w:val="28"/>
        </w:rPr>
        <w:t>无人机三维建模培训服务规范</w:t>
      </w:r>
      <w:r>
        <w:rPr>
          <w:rFonts w:hint="eastAsia" w:ascii="仿宋_GB2312" w:hAnsi="宋体" w:eastAsia="仿宋_GB2312"/>
          <w:color w:val="auto"/>
          <w:sz w:val="32"/>
          <w:szCs w:val="32"/>
          <w:lang w:val="zh-CN"/>
        </w:rPr>
        <w:t>》的主要章节内容包括：</w:t>
      </w:r>
      <w:r>
        <w:rPr>
          <w:rFonts w:hint="eastAsia" w:ascii="仿宋_GB2312" w:hAnsi="宋体" w:eastAsia="仿宋_GB2312" w:cs="Times New Roman"/>
          <w:color w:val="auto"/>
          <w:sz w:val="32"/>
          <w:szCs w:val="32"/>
          <w:lang w:val="en-US" w:eastAsia="zh-CN"/>
        </w:rPr>
        <w:t>术语和定义、</w:t>
      </w:r>
      <w:r>
        <w:rPr>
          <w:rFonts w:hint="eastAsia" w:ascii="仿宋_GB2312" w:hAnsi="宋体" w:eastAsia="仿宋_GB2312" w:cs="Times New Roman"/>
          <w:color w:val="auto"/>
          <w:sz w:val="32"/>
          <w:szCs w:val="32"/>
          <w:lang w:val="zh-CN"/>
        </w:rPr>
        <w:t>基本要求、培训对象、培训形式、培训时长、培训内容、培训服务流程及要求、信息公开、投诉处理、服务评价与改进、档案管理。本文件主要内容及依据来源说明如下：</w:t>
      </w:r>
    </w:p>
    <w:p w14:paraId="25BEBFF5">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default" w:ascii="仿宋_GB2312" w:hAnsi="宋体" w:eastAsia="仿宋_GB2312" w:cs="Times New Roman"/>
          <w:b/>
          <w:color w:val="auto"/>
          <w:kern w:val="2"/>
          <w:sz w:val="32"/>
          <w:szCs w:val="32"/>
          <w:lang w:val="zh-CN" w:eastAsia="zh-CN" w:bidi="ar-SA"/>
        </w:rPr>
      </w:pPr>
      <w:r>
        <w:rPr>
          <w:rFonts w:hint="default" w:ascii="仿宋_GB2312" w:hAnsi="宋体" w:eastAsia="仿宋_GB2312" w:cs="Times New Roman"/>
          <w:b/>
          <w:color w:val="auto"/>
          <w:kern w:val="2"/>
          <w:sz w:val="32"/>
          <w:szCs w:val="32"/>
          <w:lang w:val="zh-CN" w:eastAsia="zh-CN" w:bidi="ar-SA"/>
        </w:rPr>
        <w:t>（</w:t>
      </w:r>
      <w:r>
        <w:rPr>
          <w:rFonts w:hint="eastAsia" w:ascii="仿宋_GB2312" w:hAnsi="宋体" w:cs="Times New Roman"/>
          <w:b/>
          <w:color w:val="auto"/>
          <w:kern w:val="2"/>
          <w:sz w:val="32"/>
          <w:szCs w:val="32"/>
          <w:lang w:val="en-US" w:eastAsia="zh-CN" w:bidi="ar-SA"/>
        </w:rPr>
        <w:t>一</w:t>
      </w:r>
      <w:r>
        <w:rPr>
          <w:rFonts w:hint="default" w:ascii="仿宋_GB2312" w:hAnsi="宋体" w:eastAsia="仿宋_GB2312" w:cs="Times New Roman"/>
          <w:b/>
          <w:color w:val="auto"/>
          <w:kern w:val="2"/>
          <w:sz w:val="32"/>
          <w:szCs w:val="32"/>
          <w:lang w:val="zh-CN" w:eastAsia="zh-CN" w:bidi="ar-SA"/>
        </w:rPr>
        <w:t>）基本要求</w:t>
      </w:r>
    </w:p>
    <w:p w14:paraId="2AB368D4">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default" w:ascii="仿宋_GB2312" w:hAnsi="宋体" w:eastAsia="仿宋_GB2312" w:cs="Times New Roman"/>
          <w:b/>
          <w:color w:val="auto"/>
          <w:kern w:val="2"/>
          <w:sz w:val="32"/>
          <w:szCs w:val="32"/>
          <w:lang w:val="zh-CN" w:eastAsia="zh-CN" w:bidi="ar-SA"/>
        </w:rPr>
      </w:pPr>
      <w:r>
        <w:rPr>
          <w:rFonts w:hint="eastAsia" w:ascii="仿宋_GB2312" w:hAnsi="宋体" w:cs="Times New Roman"/>
          <w:b/>
          <w:color w:val="auto"/>
          <w:kern w:val="2"/>
          <w:sz w:val="32"/>
          <w:szCs w:val="32"/>
          <w:lang w:val="en-US" w:eastAsia="zh-CN" w:bidi="ar-SA"/>
        </w:rPr>
        <w:t>1.1</w:t>
      </w:r>
      <w:r>
        <w:rPr>
          <w:rFonts w:hint="default" w:ascii="仿宋_GB2312" w:hAnsi="宋体" w:eastAsia="仿宋_GB2312" w:cs="Times New Roman"/>
          <w:b/>
          <w:color w:val="auto"/>
          <w:kern w:val="2"/>
          <w:sz w:val="32"/>
          <w:szCs w:val="32"/>
          <w:lang w:val="zh-CN" w:eastAsia="zh-CN" w:bidi="ar-SA"/>
        </w:rPr>
        <w:t>培训机构</w:t>
      </w:r>
    </w:p>
    <w:p w14:paraId="751F8129">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eastAsia="仿宋_GB2312" w:cs="Times New Roman"/>
          <w:b w:val="0"/>
          <w:bCs/>
          <w:color w:val="auto"/>
          <w:kern w:val="2"/>
          <w:sz w:val="32"/>
          <w:szCs w:val="32"/>
          <w:lang w:val="zh-CN" w:eastAsia="zh-CN" w:bidi="ar-SA"/>
        </w:rPr>
      </w:pPr>
      <w:r>
        <w:rPr>
          <w:rFonts w:hint="default" w:ascii="仿宋_GB2312" w:hAnsi="宋体" w:eastAsia="仿宋_GB2312" w:cs="Times New Roman"/>
          <w:b w:val="0"/>
          <w:bCs/>
          <w:color w:val="auto"/>
          <w:kern w:val="2"/>
          <w:sz w:val="32"/>
          <w:szCs w:val="32"/>
          <w:lang w:val="zh-CN" w:eastAsia="zh-CN" w:bidi="ar-SA"/>
        </w:rPr>
        <w:t>机构具备独立法人资格并取得《民用无人机驾驶员训练机构合格证》，</w:t>
      </w:r>
      <w:r>
        <w:rPr>
          <w:rFonts w:hint="eastAsia" w:ascii="仿宋_GB2312" w:hAnsi="宋体" w:cs="Times New Roman"/>
          <w:b w:val="0"/>
          <w:bCs/>
          <w:color w:val="auto"/>
          <w:kern w:val="2"/>
          <w:sz w:val="32"/>
          <w:szCs w:val="32"/>
          <w:lang w:val="en-US" w:eastAsia="zh-CN" w:bidi="ar-SA"/>
        </w:rPr>
        <w:t>是</w:t>
      </w:r>
      <w:r>
        <w:rPr>
          <w:rFonts w:hint="default" w:ascii="仿宋_GB2312" w:hAnsi="宋体" w:eastAsia="仿宋_GB2312" w:cs="Times New Roman"/>
          <w:b w:val="0"/>
          <w:bCs/>
          <w:color w:val="auto"/>
          <w:kern w:val="2"/>
          <w:sz w:val="32"/>
          <w:szCs w:val="32"/>
          <w:lang w:val="zh-CN" w:eastAsia="zh-CN" w:bidi="ar-SA"/>
        </w:rPr>
        <w:t>资质硬性要求</w:t>
      </w:r>
      <w:r>
        <w:rPr>
          <w:rFonts w:hint="eastAsia" w:ascii="仿宋_GB2312" w:hAnsi="宋体" w:cs="Times New Roman"/>
          <w:b w:val="0"/>
          <w:bCs/>
          <w:color w:val="auto"/>
          <w:kern w:val="2"/>
          <w:sz w:val="32"/>
          <w:szCs w:val="32"/>
          <w:lang w:val="zh-CN" w:eastAsia="zh-CN" w:bidi="ar-SA"/>
        </w:rPr>
        <w:t>，</w:t>
      </w:r>
      <w:r>
        <w:rPr>
          <w:rFonts w:hint="default" w:ascii="仿宋_GB2312" w:hAnsi="宋体" w:eastAsia="仿宋_GB2312" w:cs="Times New Roman"/>
          <w:b w:val="0"/>
          <w:bCs/>
          <w:color w:val="auto"/>
          <w:kern w:val="2"/>
          <w:sz w:val="32"/>
          <w:szCs w:val="32"/>
          <w:lang w:val="zh-CN" w:eastAsia="zh-CN" w:bidi="ar-SA"/>
        </w:rPr>
        <w:t>从法律上确保机构是责任主体，并具备国家认可的培训能力。鼓励与东盟国家相关部门、高校合作并推进学分互认，是为了提升培训的国际认可度，便于学员在东盟就业或深造。</w:t>
      </w:r>
      <w:r>
        <w:rPr>
          <w:rFonts w:hint="eastAsia" w:ascii="仿宋_GB2312" w:hAnsi="宋体" w:cs="Times New Roman"/>
          <w:b w:val="0"/>
          <w:bCs/>
          <w:color w:val="auto"/>
          <w:kern w:val="2"/>
          <w:sz w:val="32"/>
          <w:szCs w:val="32"/>
          <w:lang w:val="en-US" w:eastAsia="zh-CN" w:bidi="ar-SA"/>
        </w:rPr>
        <w:t>建议</w:t>
      </w:r>
      <w:r>
        <w:rPr>
          <w:rFonts w:hint="default" w:ascii="仿宋_GB2312" w:hAnsi="宋体" w:eastAsia="仿宋_GB2312" w:cs="Times New Roman"/>
          <w:b w:val="0"/>
          <w:bCs/>
          <w:color w:val="auto"/>
          <w:kern w:val="2"/>
          <w:sz w:val="32"/>
          <w:szCs w:val="32"/>
          <w:lang w:val="zh-CN" w:eastAsia="zh-CN" w:bidi="ar-SA"/>
        </w:rPr>
        <w:t>提供泰语、越南语等辅助教学，是为了消除语言障碍，这是面向东盟市场的基础服务。</w:t>
      </w:r>
      <w:r>
        <w:rPr>
          <w:rFonts w:hint="eastAsia" w:ascii="仿宋_GB2312" w:hAnsi="宋体" w:cs="Times New Roman"/>
          <w:b w:val="0"/>
          <w:bCs/>
          <w:color w:val="auto"/>
          <w:kern w:val="2"/>
          <w:sz w:val="32"/>
          <w:szCs w:val="32"/>
          <w:lang w:val="en-US" w:eastAsia="zh-CN" w:bidi="ar-SA"/>
        </w:rPr>
        <w:t>同时</w:t>
      </w:r>
      <w:r>
        <w:rPr>
          <w:rFonts w:hint="default" w:ascii="仿宋_GB2312" w:hAnsi="宋体" w:eastAsia="仿宋_GB2312" w:cs="Times New Roman"/>
          <w:b w:val="0"/>
          <w:bCs/>
          <w:color w:val="auto"/>
          <w:kern w:val="2"/>
          <w:sz w:val="32"/>
          <w:szCs w:val="32"/>
          <w:lang w:val="zh-CN" w:eastAsia="zh-CN" w:bidi="ar-SA"/>
        </w:rPr>
        <w:t>要求跨境培训遵守当地法律，是开展国际业务的基本合规要求，规避法律风险。2025年，广西交通职业技术学院与越南、新加坡有关高校、教育机构签订合作办学协议，携手打造中国—东盟交通人工智能创新共同体。</w:t>
      </w:r>
      <w:r>
        <w:rPr>
          <w:rFonts w:hint="eastAsia" w:ascii="仿宋_GB2312" w:hAnsi="宋体" w:cs="Times New Roman"/>
          <w:b w:val="0"/>
          <w:bCs/>
          <w:color w:val="auto"/>
          <w:kern w:val="2"/>
          <w:sz w:val="32"/>
          <w:szCs w:val="32"/>
          <w:lang w:val="en-US" w:eastAsia="zh-CN" w:bidi="ar-SA"/>
        </w:rPr>
        <w:t>同时</w:t>
      </w:r>
      <w:r>
        <w:rPr>
          <w:rFonts w:hint="default" w:ascii="仿宋_GB2312" w:hAnsi="宋体" w:eastAsia="仿宋_GB2312" w:cs="Times New Roman"/>
          <w:b w:val="0"/>
          <w:bCs/>
          <w:color w:val="auto"/>
          <w:kern w:val="2"/>
          <w:sz w:val="32"/>
          <w:szCs w:val="32"/>
          <w:lang w:val="zh-CN" w:eastAsia="zh-CN" w:bidi="ar-SA"/>
        </w:rPr>
        <w:t>广西</w:t>
      </w:r>
      <w:r>
        <w:rPr>
          <w:rFonts w:hint="eastAsia" w:ascii="仿宋_GB2312" w:hAnsi="宋体" w:cs="Times New Roman"/>
          <w:b w:val="0"/>
          <w:bCs/>
          <w:color w:val="auto"/>
          <w:kern w:val="2"/>
          <w:sz w:val="32"/>
          <w:szCs w:val="32"/>
          <w:lang w:val="en-US" w:eastAsia="zh-CN" w:bidi="ar-SA"/>
        </w:rPr>
        <w:t>交通职业技术学院</w:t>
      </w:r>
      <w:r>
        <w:rPr>
          <w:rFonts w:hint="default" w:ascii="仿宋_GB2312" w:hAnsi="宋体" w:eastAsia="仿宋_GB2312" w:cs="Times New Roman"/>
          <w:b w:val="0"/>
          <w:bCs/>
          <w:color w:val="auto"/>
          <w:kern w:val="2"/>
          <w:sz w:val="32"/>
          <w:szCs w:val="32"/>
          <w:lang w:val="zh-CN" w:eastAsia="zh-CN" w:bidi="ar-SA"/>
        </w:rPr>
        <w:t>在越南胡志明市设立“中国—东盟交通人工智能应用合作中心分中心”，在马来西亚吉隆坡科技大学建设“中马智慧交通建管养实验室”，将自主研发的虚拟仿真、数字孪生、交通大模型等技术平台直接部署至东盟一线。</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5BA840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vAlign w:val="center"/>
          </w:tcPr>
          <w:p w14:paraId="02558DC5">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default" w:ascii="仿宋_GB2312" w:hAnsi="宋体" w:eastAsia="仿宋_GB2312" w:cs="Times New Roman"/>
                <w:b w:val="0"/>
                <w:bCs/>
                <w:color w:val="auto"/>
                <w:kern w:val="2"/>
                <w:sz w:val="32"/>
                <w:szCs w:val="32"/>
                <w:vertAlign w:val="baseline"/>
                <w:lang w:val="zh-CN" w:eastAsia="zh-CN" w:bidi="ar-SA"/>
              </w:rPr>
            </w:pPr>
            <w:r>
              <w:drawing>
                <wp:inline distT="0" distB="0" distL="114300" distR="114300">
                  <wp:extent cx="2160270" cy="1383665"/>
                  <wp:effectExtent l="0" t="0" r="11430" b="63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7"/>
                          <a:stretch>
                            <a:fillRect/>
                          </a:stretch>
                        </pic:blipFill>
                        <pic:spPr>
                          <a:xfrm>
                            <a:off x="0" y="0"/>
                            <a:ext cx="2160270" cy="1383665"/>
                          </a:xfrm>
                          <a:prstGeom prst="rect">
                            <a:avLst/>
                          </a:prstGeom>
                          <a:noFill/>
                          <a:ln>
                            <a:noFill/>
                          </a:ln>
                        </pic:spPr>
                      </pic:pic>
                    </a:graphicData>
                  </a:graphic>
                </wp:inline>
              </w:drawing>
            </w:r>
          </w:p>
        </w:tc>
      </w:tr>
      <w:tr w14:paraId="08F01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vAlign w:val="center"/>
          </w:tcPr>
          <w:p w14:paraId="77948BB7">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default"/>
                <w:sz w:val="24"/>
                <w:szCs w:val="21"/>
                <w:lang w:val="en-US" w:eastAsia="zh-CN"/>
              </w:rPr>
            </w:pPr>
            <w:r>
              <w:rPr>
                <w:rFonts w:hint="eastAsia"/>
                <w:sz w:val="24"/>
                <w:szCs w:val="21"/>
                <w:lang w:val="en-US" w:eastAsia="zh-CN"/>
              </w:rPr>
              <w:t>图</w:t>
            </w:r>
            <w:r>
              <w:rPr>
                <w:rFonts w:hint="eastAsia" w:ascii="仿宋_GB2312" w:hAnsi="仿宋_GB2312" w:eastAsia="仿宋_GB2312" w:cs="仿宋_GB2312"/>
                <w:sz w:val="24"/>
                <w:szCs w:val="21"/>
                <w:lang w:val="en-US" w:eastAsia="zh-CN"/>
              </w:rPr>
              <w:t>1</w:t>
            </w:r>
            <w:r>
              <w:rPr>
                <w:rFonts w:hint="eastAsia"/>
                <w:sz w:val="24"/>
                <w:szCs w:val="21"/>
                <w:lang w:val="en-US" w:eastAsia="zh-CN"/>
              </w:rPr>
              <w:t xml:space="preserve"> 打造中国一东盟交通人工智能创新共同体签约仪式</w:t>
            </w:r>
          </w:p>
        </w:tc>
      </w:tr>
    </w:tbl>
    <w:p w14:paraId="59A8D861">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default" w:ascii="仿宋_GB2312" w:hAnsi="宋体" w:eastAsia="仿宋_GB2312" w:cs="Times New Roman"/>
          <w:b/>
          <w:color w:val="auto"/>
          <w:kern w:val="2"/>
          <w:sz w:val="32"/>
          <w:szCs w:val="32"/>
          <w:lang w:val="zh-CN" w:eastAsia="zh-CN" w:bidi="ar-SA"/>
        </w:rPr>
      </w:pPr>
      <w:r>
        <w:rPr>
          <w:rFonts w:hint="eastAsia" w:ascii="仿宋_GB2312" w:hAnsi="宋体" w:cs="Times New Roman"/>
          <w:b/>
          <w:color w:val="auto"/>
          <w:kern w:val="2"/>
          <w:sz w:val="32"/>
          <w:szCs w:val="32"/>
          <w:lang w:val="en-US" w:eastAsia="zh-CN" w:bidi="ar-SA"/>
        </w:rPr>
        <w:t>1.2</w:t>
      </w:r>
      <w:r>
        <w:rPr>
          <w:rFonts w:hint="default" w:ascii="仿宋_GB2312" w:hAnsi="宋体" w:eastAsia="仿宋_GB2312" w:cs="Times New Roman"/>
          <w:b/>
          <w:color w:val="auto"/>
          <w:kern w:val="2"/>
          <w:sz w:val="32"/>
          <w:szCs w:val="32"/>
          <w:lang w:val="zh-CN" w:eastAsia="zh-CN" w:bidi="ar-SA"/>
        </w:rPr>
        <w:t>培训场地</w:t>
      </w:r>
    </w:p>
    <w:p w14:paraId="7FA99D1C">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eastAsia="仿宋_GB2312" w:cs="Times New Roman"/>
          <w:b w:val="0"/>
          <w:bCs/>
          <w:color w:val="auto"/>
          <w:kern w:val="2"/>
          <w:sz w:val="32"/>
          <w:szCs w:val="32"/>
          <w:lang w:val="zh-CN" w:eastAsia="zh-CN" w:bidi="ar-SA"/>
        </w:rPr>
      </w:pPr>
      <w:r>
        <w:rPr>
          <w:rFonts w:hint="default" w:ascii="仿宋_GB2312" w:hAnsi="宋体" w:eastAsia="仿宋_GB2312" w:cs="Times New Roman"/>
          <w:b w:val="0"/>
          <w:bCs/>
          <w:color w:val="auto"/>
          <w:kern w:val="2"/>
          <w:sz w:val="32"/>
          <w:szCs w:val="32"/>
          <w:lang w:val="zh-CN" w:eastAsia="zh-CN" w:bidi="ar-SA"/>
        </w:rPr>
        <w:t>理论教学场地配备高性能图形工作站和专业软件，因为三维建模的数据处理对算力要求极高。飞行实操场地必须在国家批准的合法空域内飞行。场地包含不同形态的建筑和地形，能让学员在接近真实作业的环境中训练。</w:t>
      </w:r>
      <w:r>
        <w:rPr>
          <w:rFonts w:hint="eastAsia" w:ascii="仿宋_GB2312" w:hAnsi="宋体" w:cs="Times New Roman"/>
          <w:b w:val="0"/>
          <w:bCs/>
          <w:color w:val="auto"/>
          <w:kern w:val="2"/>
          <w:sz w:val="32"/>
          <w:szCs w:val="32"/>
          <w:lang w:val="en-US" w:eastAsia="zh-CN" w:bidi="ar-SA"/>
        </w:rPr>
        <w:t>设备要</w:t>
      </w:r>
      <w:r>
        <w:rPr>
          <w:rFonts w:hint="default" w:ascii="仿宋_GB2312" w:hAnsi="宋体" w:eastAsia="仿宋_GB2312" w:cs="Times New Roman"/>
          <w:b w:val="0"/>
          <w:bCs/>
          <w:color w:val="auto"/>
          <w:kern w:val="2"/>
          <w:sz w:val="32"/>
          <w:szCs w:val="32"/>
          <w:lang w:val="zh-CN" w:eastAsia="zh-CN" w:bidi="ar-SA"/>
        </w:rPr>
        <w:t>满足起降、充电、消防等需求，确保实操训练安全、高效进行的基础。</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1AFF8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38B4D85A">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default" w:ascii="仿宋_GB2312" w:hAnsi="宋体" w:eastAsia="仿宋_GB2312" w:cs="Times New Roman"/>
                <w:b w:val="0"/>
                <w:bCs/>
                <w:color w:val="auto"/>
                <w:kern w:val="2"/>
                <w:sz w:val="32"/>
                <w:szCs w:val="32"/>
                <w:vertAlign w:val="baseline"/>
                <w:lang w:val="zh-CN" w:eastAsia="zh-CN" w:bidi="ar-SA"/>
              </w:rPr>
            </w:pPr>
            <w:r>
              <w:drawing>
                <wp:inline distT="0" distB="0" distL="114300" distR="114300">
                  <wp:extent cx="1927225" cy="1367790"/>
                  <wp:effectExtent l="0" t="0" r="3175" b="381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8"/>
                          <a:stretch>
                            <a:fillRect/>
                          </a:stretch>
                        </pic:blipFill>
                        <pic:spPr>
                          <a:xfrm>
                            <a:off x="0" y="0"/>
                            <a:ext cx="1927225" cy="1367790"/>
                          </a:xfrm>
                          <a:prstGeom prst="rect">
                            <a:avLst/>
                          </a:prstGeom>
                          <a:noFill/>
                          <a:ln>
                            <a:noFill/>
                          </a:ln>
                        </pic:spPr>
                      </pic:pic>
                    </a:graphicData>
                  </a:graphic>
                </wp:inline>
              </w:drawing>
            </w:r>
          </w:p>
        </w:tc>
        <w:tc>
          <w:tcPr>
            <w:tcW w:w="4587" w:type="dxa"/>
            <w:vAlign w:val="center"/>
          </w:tcPr>
          <w:p w14:paraId="456D8229">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default" w:ascii="仿宋_GB2312" w:hAnsi="宋体" w:eastAsia="仿宋_GB2312" w:cs="Times New Roman"/>
                <w:b w:val="0"/>
                <w:bCs/>
                <w:color w:val="auto"/>
                <w:kern w:val="2"/>
                <w:sz w:val="32"/>
                <w:szCs w:val="32"/>
                <w:vertAlign w:val="baseline"/>
                <w:lang w:val="zh-CN" w:eastAsia="zh-CN" w:bidi="ar-SA"/>
              </w:rPr>
            </w:pPr>
            <w:r>
              <w:drawing>
                <wp:inline distT="0" distB="0" distL="114300" distR="114300">
                  <wp:extent cx="2074545" cy="1367790"/>
                  <wp:effectExtent l="0" t="0" r="8255" b="381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9"/>
                          <a:stretch>
                            <a:fillRect/>
                          </a:stretch>
                        </pic:blipFill>
                        <pic:spPr>
                          <a:xfrm>
                            <a:off x="0" y="0"/>
                            <a:ext cx="2074545" cy="1367790"/>
                          </a:xfrm>
                          <a:prstGeom prst="rect">
                            <a:avLst/>
                          </a:prstGeom>
                          <a:noFill/>
                          <a:ln>
                            <a:noFill/>
                          </a:ln>
                        </pic:spPr>
                      </pic:pic>
                    </a:graphicData>
                  </a:graphic>
                </wp:inline>
              </w:drawing>
            </w:r>
          </w:p>
        </w:tc>
      </w:tr>
      <w:tr w14:paraId="67388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0D03077B">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default"/>
                <w:sz w:val="24"/>
                <w:szCs w:val="21"/>
                <w:lang w:val="en-US" w:eastAsia="zh-CN"/>
              </w:rPr>
            </w:pPr>
            <w:r>
              <w:rPr>
                <w:rFonts w:hint="eastAsia"/>
                <w:sz w:val="24"/>
                <w:szCs w:val="21"/>
                <w:lang w:val="en-US" w:eastAsia="zh-CN"/>
              </w:rPr>
              <w:t>图</w:t>
            </w:r>
            <w:r>
              <w:rPr>
                <w:rFonts w:hint="eastAsia" w:ascii="仿宋_GB2312" w:hAnsi="仿宋_GB2312" w:eastAsia="仿宋_GB2312" w:cs="仿宋_GB2312"/>
                <w:sz w:val="24"/>
                <w:szCs w:val="21"/>
                <w:lang w:val="en-US" w:eastAsia="zh-CN"/>
              </w:rPr>
              <w:t xml:space="preserve">2 </w:t>
            </w:r>
            <w:r>
              <w:rPr>
                <w:rFonts w:hint="eastAsia" w:ascii="仿宋_GB2312" w:hAnsi="仿宋_GB2312" w:cs="仿宋_GB2312"/>
                <w:sz w:val="24"/>
                <w:szCs w:val="21"/>
                <w:lang w:val="en-US" w:eastAsia="zh-CN"/>
              </w:rPr>
              <w:t>三维</w:t>
            </w:r>
            <w:r>
              <w:rPr>
                <w:rFonts w:hint="eastAsia"/>
                <w:sz w:val="24"/>
                <w:szCs w:val="21"/>
                <w:lang w:val="en-US" w:eastAsia="zh-CN"/>
              </w:rPr>
              <w:t>建模平台</w:t>
            </w:r>
          </w:p>
        </w:tc>
        <w:tc>
          <w:tcPr>
            <w:tcW w:w="4587" w:type="dxa"/>
            <w:vAlign w:val="center"/>
          </w:tcPr>
          <w:p w14:paraId="1552F410">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default"/>
                <w:sz w:val="24"/>
                <w:szCs w:val="21"/>
                <w:lang w:val="en-US" w:eastAsia="zh-CN"/>
              </w:rPr>
            </w:pPr>
            <w:r>
              <w:rPr>
                <w:rFonts w:hint="eastAsia" w:ascii="仿宋_GB2312" w:hAnsi="仿宋_GB2312" w:eastAsia="仿宋_GB2312" w:cs="仿宋_GB2312"/>
                <w:sz w:val="24"/>
                <w:szCs w:val="21"/>
                <w:lang w:val="en-US" w:eastAsia="zh-CN"/>
              </w:rPr>
              <w:t xml:space="preserve">图3 </w:t>
            </w:r>
            <w:r>
              <w:rPr>
                <w:rFonts w:hint="eastAsia"/>
                <w:sz w:val="24"/>
                <w:szCs w:val="21"/>
                <w:lang w:val="en-US" w:eastAsia="zh-CN"/>
              </w:rPr>
              <w:t>实操飞行场地</w:t>
            </w:r>
          </w:p>
        </w:tc>
      </w:tr>
    </w:tbl>
    <w:p w14:paraId="00990247">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default" w:ascii="仿宋_GB2312" w:hAnsi="宋体" w:eastAsia="仿宋_GB2312" w:cs="Times New Roman"/>
          <w:b/>
          <w:color w:val="auto"/>
          <w:kern w:val="2"/>
          <w:sz w:val="32"/>
          <w:szCs w:val="32"/>
          <w:lang w:val="zh-CN" w:eastAsia="zh-CN" w:bidi="ar-SA"/>
        </w:rPr>
      </w:pPr>
      <w:r>
        <w:rPr>
          <w:rFonts w:hint="eastAsia" w:ascii="仿宋_GB2312" w:hAnsi="宋体" w:cs="Times New Roman"/>
          <w:b/>
          <w:color w:val="auto"/>
          <w:kern w:val="2"/>
          <w:sz w:val="32"/>
          <w:szCs w:val="32"/>
          <w:lang w:val="en-US" w:eastAsia="zh-CN" w:bidi="ar-SA"/>
        </w:rPr>
        <w:t>1.3</w:t>
      </w:r>
      <w:r>
        <w:rPr>
          <w:rFonts w:hint="default" w:ascii="仿宋_GB2312" w:hAnsi="宋体" w:eastAsia="仿宋_GB2312" w:cs="Times New Roman"/>
          <w:b/>
          <w:color w:val="auto"/>
          <w:kern w:val="2"/>
          <w:sz w:val="32"/>
          <w:szCs w:val="32"/>
          <w:lang w:val="zh-CN" w:eastAsia="zh-CN" w:bidi="ar-SA"/>
        </w:rPr>
        <w:t>师资队伍配置</w:t>
      </w:r>
    </w:p>
    <w:p w14:paraId="77E12AD2">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default" w:ascii="仿宋_GB2312" w:hAnsi="宋体" w:eastAsia="仿宋_GB2312" w:cs="Times New Roman"/>
          <w:b w:val="0"/>
          <w:bCs/>
          <w:color w:val="auto"/>
          <w:kern w:val="2"/>
          <w:sz w:val="32"/>
          <w:szCs w:val="32"/>
          <w:lang w:val="zh-CN" w:eastAsia="zh-CN" w:bidi="ar-SA"/>
        </w:rPr>
        <w:t>理论教师要求具备测绘、遥感等相关专业中级以上职称，确保其能传授准确、前沿的专业理论。飞行教员必须持有民航局教员执照并有项目实操经验，确保其在教授飞行技术时的专业性和安全性。</w:t>
      </w:r>
      <w:r>
        <w:rPr>
          <w:rFonts w:hint="eastAsia" w:ascii="仿宋_GB2312" w:hAnsi="宋体" w:cs="Times New Roman"/>
          <w:b w:val="0"/>
          <w:bCs/>
          <w:color w:val="auto"/>
          <w:kern w:val="2"/>
          <w:sz w:val="32"/>
          <w:szCs w:val="32"/>
          <w:lang w:val="en-US" w:eastAsia="zh-CN" w:bidi="ar-SA"/>
        </w:rPr>
        <w:t>鼓励招聘</w:t>
      </w:r>
      <w:r>
        <w:rPr>
          <w:rFonts w:hint="default" w:ascii="仿宋_GB2312" w:hAnsi="宋体" w:eastAsia="仿宋_GB2312" w:cs="Times New Roman"/>
          <w:b w:val="0"/>
          <w:bCs/>
          <w:color w:val="auto"/>
          <w:kern w:val="2"/>
          <w:sz w:val="32"/>
          <w:szCs w:val="32"/>
          <w:lang w:val="zh-CN" w:eastAsia="zh-CN" w:bidi="ar-SA"/>
        </w:rPr>
        <w:t>具备双语能力教师，能更有效地指导学员，也是机构国际化能力的体现。广西交通职业技术学院2024年启动了“双轨并进”师资工程：一方面利用假期开展教师执教技能培训，一方面系统遴选骨干教师考取更高级别的民航局无人机教员资格证书。培训强调实战能力，采用“理论+模拟+实飞”三阶段模式，确保教师掌握从基础飞行到复杂场景应用的全套技能。同时，强化</w:t>
      </w:r>
      <w:r>
        <w:rPr>
          <w:rFonts w:hint="eastAsia" w:ascii="仿宋_GB2312" w:hAnsi="宋体" w:cs="Times New Roman"/>
          <w:b w:val="0"/>
          <w:bCs/>
          <w:color w:val="auto"/>
          <w:kern w:val="2"/>
          <w:sz w:val="32"/>
          <w:szCs w:val="32"/>
          <w:lang w:val="en-US" w:eastAsia="zh-CN" w:bidi="ar-SA"/>
        </w:rPr>
        <w:t>各</w:t>
      </w:r>
      <w:r>
        <w:rPr>
          <w:rFonts w:hint="default" w:ascii="仿宋_GB2312" w:hAnsi="宋体" w:eastAsia="仿宋_GB2312" w:cs="Times New Roman"/>
          <w:b w:val="0"/>
          <w:bCs/>
          <w:color w:val="auto"/>
          <w:kern w:val="2"/>
          <w:sz w:val="32"/>
          <w:szCs w:val="32"/>
          <w:lang w:val="zh-CN" w:eastAsia="zh-CN" w:bidi="ar-SA"/>
        </w:rPr>
        <w:t>专业场景的教学能</w:t>
      </w:r>
      <w:r>
        <w:rPr>
          <w:rFonts w:hint="eastAsia" w:ascii="仿宋_GB2312" w:hAnsi="仿宋_GB2312" w:eastAsia="仿宋_GB2312" w:cs="仿宋_GB2312"/>
          <w:b w:val="0"/>
          <w:bCs/>
          <w:color w:val="auto"/>
          <w:kern w:val="2"/>
          <w:sz w:val="32"/>
          <w:szCs w:val="32"/>
          <w:lang w:val="zh-CN" w:eastAsia="zh-CN" w:bidi="ar-SA"/>
        </w:rPr>
        <w:t>力，保障“X”模块教学质量。</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BDB37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vAlign w:val="center"/>
          </w:tcPr>
          <w:p w14:paraId="4554A76B">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b w:val="0"/>
                <w:bCs/>
                <w:color w:val="auto"/>
                <w:kern w:val="2"/>
                <w:sz w:val="32"/>
                <w:szCs w:val="32"/>
                <w:vertAlign w:val="baseline"/>
                <w:lang w:val="zh-CN" w:eastAsia="zh-CN" w:bidi="ar-SA"/>
              </w:rPr>
            </w:pPr>
            <w:r>
              <w:rPr>
                <w:rFonts w:hint="eastAsia" w:ascii="仿宋_GB2312" w:hAnsi="仿宋_GB2312" w:eastAsia="仿宋_GB2312" w:cs="仿宋_GB2312"/>
              </w:rPr>
              <w:drawing>
                <wp:inline distT="0" distB="0" distL="114300" distR="114300">
                  <wp:extent cx="2160270" cy="1497965"/>
                  <wp:effectExtent l="0" t="0" r="11430" b="63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0"/>
                          <a:stretch>
                            <a:fillRect/>
                          </a:stretch>
                        </pic:blipFill>
                        <pic:spPr>
                          <a:xfrm>
                            <a:off x="0" y="0"/>
                            <a:ext cx="2160270" cy="1497965"/>
                          </a:xfrm>
                          <a:prstGeom prst="rect">
                            <a:avLst/>
                          </a:prstGeom>
                          <a:noFill/>
                          <a:ln>
                            <a:noFill/>
                          </a:ln>
                        </pic:spPr>
                      </pic:pic>
                    </a:graphicData>
                  </a:graphic>
                </wp:inline>
              </w:drawing>
            </w:r>
          </w:p>
        </w:tc>
      </w:tr>
      <w:tr w14:paraId="4A6C41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vAlign w:val="center"/>
          </w:tcPr>
          <w:p w14:paraId="6B1594B6">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sz w:val="24"/>
                <w:szCs w:val="21"/>
                <w:lang w:val="en-US" w:eastAsia="zh-CN"/>
              </w:rPr>
            </w:pPr>
            <w:r>
              <w:rPr>
                <w:rFonts w:hint="eastAsia" w:ascii="仿宋_GB2312" w:hAnsi="仿宋_GB2312" w:eastAsia="仿宋_GB2312" w:cs="仿宋_GB2312"/>
                <w:sz w:val="24"/>
                <w:szCs w:val="21"/>
                <w:lang w:val="en-US" w:eastAsia="zh-CN"/>
              </w:rPr>
              <w:t>图4 打造高水平教学团队</w:t>
            </w:r>
          </w:p>
        </w:tc>
      </w:tr>
    </w:tbl>
    <w:p w14:paraId="2F8F1C4A">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en-US" w:eastAsia="zh-CN" w:bidi="ar-SA"/>
        </w:rPr>
        <w:t>1.4</w:t>
      </w:r>
      <w:r>
        <w:rPr>
          <w:rFonts w:hint="eastAsia" w:ascii="仿宋_GB2312" w:hAnsi="仿宋_GB2312" w:eastAsia="仿宋_GB2312" w:cs="仿宋_GB2312"/>
          <w:b/>
          <w:color w:val="auto"/>
          <w:kern w:val="2"/>
          <w:sz w:val="32"/>
          <w:szCs w:val="32"/>
          <w:lang w:val="zh-CN" w:eastAsia="zh-CN" w:bidi="ar-SA"/>
        </w:rPr>
        <w:t>教学资源</w:t>
      </w:r>
    </w:p>
    <w:p w14:paraId="6D856880">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en-US" w:eastAsia="zh-CN" w:bidi="ar-SA"/>
        </w:rPr>
        <w:t>要</w:t>
      </w:r>
      <w:r>
        <w:rPr>
          <w:rFonts w:hint="eastAsia" w:ascii="仿宋_GB2312" w:hAnsi="仿宋_GB2312" w:eastAsia="仿宋_GB2312" w:cs="仿宋_GB2312"/>
          <w:b w:val="0"/>
          <w:bCs/>
          <w:color w:val="auto"/>
          <w:kern w:val="2"/>
          <w:sz w:val="32"/>
          <w:szCs w:val="32"/>
          <w:lang w:val="zh-CN" w:eastAsia="zh-CN" w:bidi="ar-SA"/>
        </w:rPr>
        <w:t>构建完整的教学保障体系，教材与案例库提供系统化的专业教材和真实案例库，让学员能接触到多样化的实际问题。配备主流软件并支持东盟常用坐标系和多种格式导出，是为了确保学员技能与行业需求接轨。</w:t>
      </w:r>
      <w:r>
        <w:rPr>
          <w:rFonts w:hint="eastAsia" w:ascii="仿宋_GB2312" w:hAnsi="仿宋_GB2312" w:eastAsia="仿宋_GB2312" w:cs="仿宋_GB2312"/>
          <w:b w:val="0"/>
          <w:bCs/>
          <w:color w:val="auto"/>
          <w:kern w:val="2"/>
          <w:sz w:val="32"/>
          <w:szCs w:val="32"/>
          <w:lang w:val="en-US" w:eastAsia="zh-CN" w:bidi="ar-SA"/>
        </w:rPr>
        <w:t>配备</w:t>
      </w:r>
      <w:r>
        <w:rPr>
          <w:rFonts w:hint="eastAsia" w:ascii="仿宋_GB2312" w:hAnsi="仿宋_GB2312" w:eastAsia="仿宋_GB2312" w:cs="仿宋_GB2312"/>
          <w:b w:val="0"/>
          <w:bCs/>
          <w:color w:val="auto"/>
          <w:kern w:val="2"/>
          <w:sz w:val="32"/>
          <w:szCs w:val="32"/>
          <w:lang w:val="zh-CN" w:eastAsia="zh-CN" w:bidi="ar-SA"/>
        </w:rPr>
        <w:t>仿真与实训设备，通过模拟器进行安全、低成本的大量练习，再过渡到真机实操。配备专业图形工作站，以保障大型三维建模项目的数据处理效率。</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643AD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7B7B8279">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rPr>
              <w:drawing>
                <wp:inline distT="0" distB="0" distL="114300" distR="114300">
                  <wp:extent cx="2160270" cy="1449705"/>
                  <wp:effectExtent l="0" t="0" r="11430" b="1079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1"/>
                          <a:stretch>
                            <a:fillRect/>
                          </a:stretch>
                        </pic:blipFill>
                        <pic:spPr>
                          <a:xfrm>
                            <a:off x="0" y="0"/>
                            <a:ext cx="2160270" cy="1449705"/>
                          </a:xfrm>
                          <a:prstGeom prst="rect">
                            <a:avLst/>
                          </a:prstGeom>
                          <a:noFill/>
                          <a:ln>
                            <a:noFill/>
                          </a:ln>
                        </pic:spPr>
                      </pic:pic>
                    </a:graphicData>
                  </a:graphic>
                </wp:inline>
              </w:drawing>
            </w:r>
          </w:p>
        </w:tc>
        <w:tc>
          <w:tcPr>
            <w:tcW w:w="4587" w:type="dxa"/>
            <w:shd w:val="clear" w:color="auto" w:fill="auto"/>
            <w:vAlign w:val="center"/>
          </w:tcPr>
          <w:p w14:paraId="691BFEEB">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rPr>
              <w:drawing>
                <wp:inline distT="0" distB="0" distL="114300" distR="114300">
                  <wp:extent cx="2160270" cy="1560830"/>
                  <wp:effectExtent l="0" t="0" r="11430" b="127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12"/>
                          <a:stretch>
                            <a:fillRect/>
                          </a:stretch>
                        </pic:blipFill>
                        <pic:spPr>
                          <a:xfrm>
                            <a:off x="0" y="0"/>
                            <a:ext cx="2160270" cy="1560830"/>
                          </a:xfrm>
                          <a:prstGeom prst="rect">
                            <a:avLst/>
                          </a:prstGeom>
                          <a:noFill/>
                          <a:ln>
                            <a:noFill/>
                          </a:ln>
                        </pic:spPr>
                      </pic:pic>
                    </a:graphicData>
                  </a:graphic>
                </wp:inline>
              </w:drawing>
            </w:r>
          </w:p>
        </w:tc>
      </w:tr>
      <w:tr w14:paraId="67336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vAlign w:val="center"/>
          </w:tcPr>
          <w:p w14:paraId="7D7A8A5E">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sz w:val="24"/>
                <w:szCs w:val="21"/>
                <w:lang w:val="en-US" w:eastAsia="zh-CN"/>
              </w:rPr>
              <w:t>图5 案例教学</w:t>
            </w:r>
          </w:p>
        </w:tc>
      </w:tr>
    </w:tbl>
    <w:p w14:paraId="61291BC5">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en-US" w:eastAsia="zh-CN" w:bidi="ar-SA"/>
        </w:rPr>
        <w:t>1.5</w:t>
      </w:r>
      <w:r>
        <w:rPr>
          <w:rFonts w:hint="eastAsia" w:ascii="仿宋_GB2312" w:hAnsi="仿宋_GB2312" w:eastAsia="仿宋_GB2312" w:cs="仿宋_GB2312"/>
          <w:b/>
          <w:color w:val="auto"/>
          <w:kern w:val="2"/>
          <w:sz w:val="32"/>
          <w:szCs w:val="32"/>
          <w:lang w:val="zh-CN" w:eastAsia="zh-CN" w:bidi="ar-SA"/>
        </w:rPr>
        <w:t>信息化建设</w:t>
      </w:r>
    </w:p>
    <w:p w14:paraId="05CBD457">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en-US" w:eastAsia="zh-CN" w:bidi="ar-SA"/>
        </w:rPr>
        <w:t>建立</w:t>
      </w:r>
      <w:r>
        <w:rPr>
          <w:rFonts w:hint="eastAsia" w:ascii="仿宋_GB2312" w:hAnsi="仿宋_GB2312" w:eastAsia="仿宋_GB2312" w:cs="仿宋_GB2312"/>
          <w:b w:val="0"/>
          <w:bCs/>
          <w:color w:val="auto"/>
          <w:kern w:val="2"/>
          <w:sz w:val="32"/>
          <w:szCs w:val="32"/>
          <w:lang w:val="zh-CN" w:eastAsia="zh-CN" w:bidi="ar-SA"/>
        </w:rPr>
        <w:t>在线教学平台，支持线上教学、回放和进度跟踪，提供了灵活的学习方式。</w:t>
      </w:r>
      <w:r>
        <w:rPr>
          <w:rFonts w:hint="eastAsia" w:ascii="仿宋_GB2312" w:hAnsi="仿宋_GB2312" w:eastAsia="仿宋_GB2312" w:cs="仿宋_GB2312"/>
          <w:b w:val="0"/>
          <w:bCs/>
          <w:color w:val="auto"/>
          <w:kern w:val="2"/>
          <w:sz w:val="32"/>
          <w:szCs w:val="32"/>
          <w:lang w:val="en-US" w:eastAsia="zh-CN" w:bidi="ar-SA"/>
        </w:rPr>
        <w:t>通过</w:t>
      </w:r>
      <w:r>
        <w:rPr>
          <w:rFonts w:hint="eastAsia" w:ascii="仿宋_GB2312" w:hAnsi="仿宋_GB2312" w:eastAsia="仿宋_GB2312" w:cs="仿宋_GB2312"/>
          <w:b w:val="0"/>
          <w:bCs/>
          <w:color w:val="auto"/>
          <w:kern w:val="2"/>
          <w:sz w:val="32"/>
          <w:szCs w:val="32"/>
          <w:lang w:val="zh-CN" w:eastAsia="zh-CN" w:bidi="ar-SA"/>
        </w:rPr>
        <w:t>管理信息系统，实现“招生-教学-考核-发证”的全链路数字化管理，提高效率并确保数据可追溯。</w:t>
      </w:r>
      <w:r>
        <w:rPr>
          <w:rFonts w:hint="eastAsia" w:ascii="仿宋_GB2312" w:hAnsi="仿宋_GB2312" w:eastAsia="仿宋_GB2312" w:cs="仿宋_GB2312"/>
          <w:b w:val="0"/>
          <w:bCs/>
          <w:color w:val="auto"/>
          <w:kern w:val="2"/>
          <w:sz w:val="32"/>
          <w:szCs w:val="32"/>
          <w:lang w:val="en-US" w:eastAsia="zh-CN" w:bidi="ar-SA"/>
        </w:rPr>
        <w:t>建议</w:t>
      </w:r>
      <w:r>
        <w:rPr>
          <w:rFonts w:hint="eastAsia" w:ascii="仿宋_GB2312" w:hAnsi="仿宋_GB2312" w:eastAsia="仿宋_GB2312" w:cs="仿宋_GB2312"/>
          <w:b w:val="0"/>
          <w:bCs/>
          <w:color w:val="auto"/>
          <w:kern w:val="2"/>
          <w:sz w:val="32"/>
          <w:szCs w:val="32"/>
          <w:lang w:val="zh-CN" w:eastAsia="zh-CN" w:bidi="ar-SA"/>
        </w:rPr>
        <w:t>提供多语言界面，是提升国际学员用户体验的重要细节。要求数据本地化备份，跨境传输需符合法规，</w:t>
      </w:r>
      <w:r>
        <w:rPr>
          <w:rFonts w:hint="eastAsia" w:ascii="仿宋_GB2312" w:hAnsi="仿宋_GB2312" w:eastAsia="仿宋_GB2312" w:cs="仿宋_GB2312"/>
          <w:b w:val="0"/>
          <w:bCs/>
          <w:color w:val="auto"/>
          <w:kern w:val="2"/>
          <w:sz w:val="32"/>
          <w:szCs w:val="32"/>
          <w:lang w:val="en-US" w:eastAsia="zh-CN" w:bidi="ar-SA"/>
        </w:rPr>
        <w:t>保护</w:t>
      </w:r>
      <w:r>
        <w:rPr>
          <w:rFonts w:hint="eastAsia" w:ascii="仿宋_GB2312" w:hAnsi="仿宋_GB2312" w:eastAsia="仿宋_GB2312" w:cs="仿宋_GB2312"/>
          <w:b w:val="0"/>
          <w:bCs/>
          <w:color w:val="auto"/>
          <w:kern w:val="2"/>
          <w:sz w:val="32"/>
          <w:szCs w:val="32"/>
          <w:lang w:val="zh-CN" w:eastAsia="zh-CN" w:bidi="ar-SA"/>
        </w:rPr>
        <w:t>国家秘密和学员隐私。</w:t>
      </w:r>
    </w:p>
    <w:p w14:paraId="6BE4C568">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en-US" w:eastAsia="zh-CN" w:bidi="ar-SA"/>
        </w:rPr>
        <w:t>1.6</w:t>
      </w:r>
      <w:r>
        <w:rPr>
          <w:rFonts w:hint="eastAsia" w:ascii="仿宋_GB2312" w:hAnsi="仿宋_GB2312" w:eastAsia="仿宋_GB2312" w:cs="仿宋_GB2312"/>
          <w:b/>
          <w:color w:val="auto"/>
          <w:kern w:val="2"/>
          <w:sz w:val="32"/>
          <w:szCs w:val="32"/>
          <w:lang w:val="zh-CN" w:eastAsia="zh-CN" w:bidi="ar-SA"/>
        </w:rPr>
        <w:t>安全与保险</w:t>
      </w:r>
    </w:p>
    <w:p w14:paraId="7DC32CCE">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为学员购买人身意外险和第三者责任险，</w:t>
      </w:r>
      <w:r>
        <w:rPr>
          <w:rFonts w:hint="eastAsia" w:ascii="仿宋_GB2312" w:hAnsi="仿宋_GB2312" w:eastAsia="仿宋_GB2312" w:cs="仿宋_GB2312"/>
          <w:b w:val="0"/>
          <w:bCs/>
          <w:color w:val="auto"/>
          <w:kern w:val="2"/>
          <w:sz w:val="32"/>
          <w:szCs w:val="32"/>
          <w:lang w:val="en-US" w:eastAsia="zh-CN" w:bidi="ar-SA"/>
        </w:rPr>
        <w:t>是</w:t>
      </w:r>
      <w:r>
        <w:rPr>
          <w:rFonts w:hint="eastAsia" w:ascii="仿宋_GB2312" w:hAnsi="仿宋_GB2312" w:eastAsia="仿宋_GB2312" w:cs="仿宋_GB2312"/>
          <w:b w:val="0"/>
          <w:bCs/>
          <w:color w:val="auto"/>
          <w:kern w:val="2"/>
          <w:sz w:val="32"/>
          <w:szCs w:val="32"/>
          <w:lang w:val="zh-CN" w:eastAsia="zh-CN" w:bidi="ar-SA"/>
        </w:rPr>
        <w:t>保障各方权益</w:t>
      </w:r>
      <w:r>
        <w:rPr>
          <w:rFonts w:hint="eastAsia" w:ascii="仿宋_GB2312" w:hAnsi="仿宋_GB2312" w:eastAsia="仿宋_GB2312" w:cs="仿宋_GB2312"/>
          <w:b w:val="0"/>
          <w:bCs/>
          <w:color w:val="auto"/>
          <w:kern w:val="2"/>
          <w:sz w:val="32"/>
          <w:szCs w:val="32"/>
          <w:lang w:val="en-US" w:eastAsia="zh-CN" w:bidi="ar-SA"/>
        </w:rPr>
        <w:t>的有效措施</w:t>
      </w:r>
      <w:r>
        <w:rPr>
          <w:rFonts w:hint="eastAsia" w:ascii="仿宋_GB2312" w:hAnsi="仿宋_GB2312" w:eastAsia="仿宋_GB2312" w:cs="仿宋_GB2312"/>
          <w:b w:val="0"/>
          <w:bCs/>
          <w:color w:val="auto"/>
          <w:kern w:val="2"/>
          <w:sz w:val="32"/>
          <w:szCs w:val="32"/>
          <w:lang w:val="zh-CN" w:eastAsia="zh-CN" w:bidi="ar-SA"/>
        </w:rPr>
        <w:t>。在合法空域飞行并进行飞行前检查，是从源头上防止安全事故的发生。关注学员身体状况并配备防护装备，体现了对学员个体安全的关怀。制定并演练涵盖多种紧急情况的预案，确保机构具备应对突发事件的能力。</w:t>
      </w:r>
    </w:p>
    <w:p w14:paraId="103A3BC8">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zh-CN" w:eastAsia="zh-CN" w:bidi="ar-SA"/>
        </w:rPr>
        <w:t>（</w:t>
      </w:r>
      <w:r>
        <w:rPr>
          <w:rFonts w:hint="eastAsia" w:ascii="仿宋_GB2312" w:hAnsi="仿宋_GB2312" w:eastAsia="仿宋_GB2312" w:cs="仿宋_GB2312"/>
          <w:b/>
          <w:color w:val="auto"/>
          <w:kern w:val="2"/>
          <w:sz w:val="32"/>
          <w:szCs w:val="32"/>
          <w:lang w:val="en-US" w:eastAsia="zh-CN" w:bidi="ar-SA"/>
        </w:rPr>
        <w:t>二</w:t>
      </w:r>
      <w:r>
        <w:rPr>
          <w:rFonts w:hint="eastAsia" w:ascii="仿宋_GB2312" w:hAnsi="仿宋_GB2312" w:eastAsia="仿宋_GB2312" w:cs="仿宋_GB2312"/>
          <w:b/>
          <w:color w:val="auto"/>
          <w:kern w:val="2"/>
          <w:sz w:val="32"/>
          <w:szCs w:val="32"/>
          <w:lang w:val="zh-CN" w:eastAsia="zh-CN" w:bidi="ar-SA"/>
        </w:rPr>
        <w:t>）培训对象</w:t>
      </w:r>
    </w:p>
    <w:p w14:paraId="5E28656E">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培训不是“零门槛”普惠教育，而是专业技能传授。设定合理准入条件，既是对学员负责（避免因身体或基础原因无法完成学业），也是对培训机构负责（降低教学成本和事故风险）。年龄16周岁以上，参考民航局无人机操控员执照的最低年龄要求，确保学员具备完全民事行为能力和基本的法律责任意识。</w:t>
      </w:r>
    </w:p>
    <w:p w14:paraId="3FB0B18B">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en-US" w:eastAsia="zh-CN" w:bidi="ar-SA"/>
        </w:rPr>
        <w:t>要求</w:t>
      </w:r>
      <w:r>
        <w:rPr>
          <w:rFonts w:hint="eastAsia" w:ascii="仿宋_GB2312" w:hAnsi="仿宋_GB2312" w:eastAsia="仿宋_GB2312" w:cs="仿宋_GB2312"/>
          <w:b w:val="0"/>
          <w:bCs/>
          <w:color w:val="auto"/>
          <w:kern w:val="2"/>
          <w:sz w:val="32"/>
          <w:szCs w:val="32"/>
          <w:lang w:val="zh-CN" w:eastAsia="zh-CN" w:bidi="ar-SA"/>
        </w:rPr>
        <w:t>无色盲色弱、无心脏病及精神类疾病，三维建模外业需辨别地面像控点、显示屏色彩；无人机操控对反应能力要求高，身体条件是安全底线。三维建模</w:t>
      </w:r>
      <w:r>
        <w:rPr>
          <w:rFonts w:hint="eastAsia" w:ascii="仿宋_GB2312" w:hAnsi="仿宋_GB2312" w:eastAsia="仿宋_GB2312" w:cs="仿宋_GB2312"/>
          <w:b w:val="0"/>
          <w:bCs/>
          <w:color w:val="auto"/>
          <w:kern w:val="2"/>
          <w:sz w:val="32"/>
          <w:szCs w:val="32"/>
          <w:lang w:val="en-US" w:eastAsia="zh-CN" w:bidi="ar-SA"/>
        </w:rPr>
        <w:t>大部分</w:t>
      </w:r>
      <w:r>
        <w:rPr>
          <w:rFonts w:hint="eastAsia" w:ascii="仿宋_GB2312" w:hAnsi="仿宋_GB2312" w:eastAsia="仿宋_GB2312" w:cs="仿宋_GB2312"/>
          <w:b w:val="0"/>
          <w:bCs/>
          <w:color w:val="auto"/>
          <w:kern w:val="2"/>
          <w:sz w:val="32"/>
          <w:szCs w:val="32"/>
          <w:lang w:val="zh-CN" w:eastAsia="zh-CN" w:bidi="ar-SA"/>
        </w:rPr>
        <w:t>工作量在内业数据处理，</w:t>
      </w:r>
      <w:r>
        <w:rPr>
          <w:rFonts w:hint="eastAsia" w:ascii="仿宋_GB2312" w:hAnsi="仿宋_GB2312" w:eastAsia="仿宋_GB2312" w:cs="仿宋_GB2312"/>
          <w:b w:val="0"/>
          <w:bCs/>
          <w:color w:val="auto"/>
          <w:kern w:val="2"/>
          <w:sz w:val="32"/>
          <w:szCs w:val="32"/>
          <w:lang w:val="en-US" w:eastAsia="zh-CN" w:bidi="ar-SA"/>
        </w:rPr>
        <w:t>也要求</w:t>
      </w:r>
      <w:r>
        <w:rPr>
          <w:rFonts w:hint="eastAsia" w:ascii="仿宋_GB2312" w:hAnsi="仿宋_GB2312" w:eastAsia="仿宋_GB2312" w:cs="仿宋_GB2312"/>
          <w:b w:val="0"/>
          <w:bCs/>
          <w:color w:val="auto"/>
          <w:kern w:val="2"/>
          <w:sz w:val="32"/>
          <w:szCs w:val="32"/>
          <w:lang w:val="zh-CN" w:eastAsia="zh-CN" w:bidi="ar-SA"/>
        </w:rPr>
        <w:t>学员具备基本计算机操作能力，</w:t>
      </w:r>
      <w:r>
        <w:rPr>
          <w:rFonts w:hint="eastAsia" w:ascii="仿宋_GB2312" w:hAnsi="仿宋_GB2312" w:eastAsia="仿宋_GB2312" w:cs="仿宋_GB2312"/>
          <w:b w:val="0"/>
          <w:bCs/>
          <w:color w:val="auto"/>
          <w:kern w:val="2"/>
          <w:sz w:val="32"/>
          <w:szCs w:val="32"/>
          <w:lang w:val="en-US" w:eastAsia="zh-CN" w:bidi="ar-SA"/>
        </w:rPr>
        <w:t>保障后续</w:t>
      </w:r>
      <w:r>
        <w:rPr>
          <w:rFonts w:hint="eastAsia" w:ascii="仿宋_GB2312" w:hAnsi="仿宋_GB2312" w:eastAsia="仿宋_GB2312" w:cs="仿宋_GB2312"/>
          <w:b w:val="0"/>
          <w:bCs/>
          <w:color w:val="auto"/>
          <w:kern w:val="2"/>
          <w:sz w:val="32"/>
          <w:szCs w:val="32"/>
          <w:lang w:val="zh-CN" w:eastAsia="zh-CN" w:bidi="ar-SA"/>
        </w:rPr>
        <w:t>教学进度，</w:t>
      </w:r>
      <w:r>
        <w:rPr>
          <w:rFonts w:hint="eastAsia" w:ascii="仿宋_GB2312" w:hAnsi="仿宋_GB2312" w:eastAsia="仿宋_GB2312" w:cs="仿宋_GB2312"/>
          <w:b w:val="0"/>
          <w:bCs/>
          <w:color w:val="auto"/>
          <w:kern w:val="2"/>
          <w:sz w:val="32"/>
          <w:szCs w:val="32"/>
          <w:lang w:val="en-US" w:eastAsia="zh-CN" w:bidi="ar-SA"/>
        </w:rPr>
        <w:t>通过</w:t>
      </w:r>
      <w:r>
        <w:rPr>
          <w:rFonts w:hint="eastAsia" w:ascii="仿宋_GB2312" w:hAnsi="仿宋_GB2312" w:eastAsia="仿宋_GB2312" w:cs="仿宋_GB2312"/>
          <w:b w:val="0"/>
          <w:bCs/>
          <w:color w:val="auto"/>
          <w:kern w:val="2"/>
          <w:sz w:val="32"/>
          <w:szCs w:val="32"/>
          <w:lang w:val="zh-CN" w:eastAsia="zh-CN" w:bidi="ar-SA"/>
        </w:rPr>
        <w:t>测评</w:t>
      </w:r>
      <w:r>
        <w:rPr>
          <w:rFonts w:hint="eastAsia" w:ascii="仿宋_GB2312" w:hAnsi="仿宋_GB2312" w:eastAsia="仿宋_GB2312" w:cs="仿宋_GB2312"/>
          <w:b w:val="0"/>
          <w:bCs/>
          <w:color w:val="auto"/>
          <w:kern w:val="2"/>
          <w:sz w:val="32"/>
          <w:szCs w:val="32"/>
          <w:lang w:val="en-US" w:eastAsia="zh-CN" w:bidi="ar-SA"/>
        </w:rPr>
        <w:t>可以实现不同学院的</w:t>
      </w:r>
      <w:r>
        <w:rPr>
          <w:rFonts w:hint="eastAsia" w:ascii="仿宋_GB2312" w:hAnsi="仿宋_GB2312" w:eastAsia="仿宋_GB2312" w:cs="仿宋_GB2312"/>
          <w:b w:val="0"/>
          <w:bCs/>
          <w:color w:val="auto"/>
          <w:kern w:val="2"/>
          <w:sz w:val="32"/>
          <w:szCs w:val="32"/>
          <w:lang w:val="zh-CN" w:eastAsia="zh-CN" w:bidi="ar-SA"/>
        </w:rPr>
        <w:t>分层教学。面向东盟的跨境培训，学员可能来自不同国家，</w:t>
      </w:r>
      <w:r>
        <w:rPr>
          <w:rFonts w:hint="eastAsia" w:ascii="仿宋_GB2312" w:hAnsi="仿宋_GB2312" w:eastAsia="仿宋_GB2312" w:cs="仿宋_GB2312"/>
          <w:b w:val="0"/>
          <w:bCs/>
          <w:color w:val="auto"/>
          <w:kern w:val="2"/>
          <w:sz w:val="32"/>
          <w:szCs w:val="32"/>
          <w:lang w:val="en-US" w:eastAsia="zh-CN" w:bidi="ar-SA"/>
        </w:rPr>
        <w:t>需要</w:t>
      </w:r>
      <w:r>
        <w:rPr>
          <w:rFonts w:hint="eastAsia" w:ascii="仿宋_GB2312" w:hAnsi="仿宋_GB2312" w:eastAsia="仿宋_GB2312" w:cs="仿宋_GB2312"/>
          <w:b w:val="0"/>
          <w:bCs/>
          <w:color w:val="auto"/>
          <w:kern w:val="2"/>
          <w:sz w:val="32"/>
          <w:szCs w:val="32"/>
          <w:lang w:val="zh-CN" w:eastAsia="zh-CN" w:bidi="ar-SA"/>
        </w:rPr>
        <w:t>强调遵守中国法律及学员本国法律，是规避国际法律纠纷的基本前提。</w:t>
      </w:r>
    </w:p>
    <w:p w14:paraId="031125E3">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zh-CN" w:eastAsia="zh-CN" w:bidi="ar-SA"/>
        </w:rPr>
        <w:t>（</w:t>
      </w:r>
      <w:r>
        <w:rPr>
          <w:rFonts w:hint="eastAsia" w:ascii="仿宋_GB2312" w:hAnsi="仿宋_GB2312" w:eastAsia="仿宋_GB2312" w:cs="仿宋_GB2312"/>
          <w:b/>
          <w:color w:val="auto"/>
          <w:kern w:val="2"/>
          <w:sz w:val="32"/>
          <w:szCs w:val="32"/>
          <w:lang w:val="en-US" w:eastAsia="zh-CN" w:bidi="ar-SA"/>
        </w:rPr>
        <w:t>三</w:t>
      </w:r>
      <w:r>
        <w:rPr>
          <w:rFonts w:hint="eastAsia" w:ascii="仿宋_GB2312" w:hAnsi="仿宋_GB2312" w:eastAsia="仿宋_GB2312" w:cs="仿宋_GB2312"/>
          <w:b/>
          <w:color w:val="auto"/>
          <w:kern w:val="2"/>
          <w:sz w:val="32"/>
          <w:szCs w:val="32"/>
          <w:lang w:val="zh-CN" w:eastAsia="zh-CN" w:bidi="ar-SA"/>
        </w:rPr>
        <w:t>）培训形式</w:t>
      </w:r>
    </w:p>
    <w:p w14:paraId="79887438">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不同教学环节对互动性、安全性、设备依赖度的要求</w:t>
      </w:r>
      <w:r>
        <w:rPr>
          <w:rFonts w:hint="eastAsia" w:ascii="仿宋_GB2312" w:hAnsi="仿宋_GB2312" w:eastAsia="仿宋_GB2312" w:cs="仿宋_GB2312"/>
          <w:b w:val="0"/>
          <w:bCs/>
          <w:color w:val="auto"/>
          <w:kern w:val="2"/>
          <w:sz w:val="32"/>
          <w:szCs w:val="32"/>
          <w:lang w:val="en-US" w:eastAsia="zh-CN" w:bidi="ar-SA"/>
        </w:rPr>
        <w:t>存在差异</w:t>
      </w:r>
      <w:r>
        <w:rPr>
          <w:rFonts w:hint="eastAsia" w:ascii="仿宋_GB2312" w:hAnsi="仿宋_GB2312" w:eastAsia="仿宋_GB2312" w:cs="仿宋_GB2312"/>
          <w:b w:val="0"/>
          <w:bCs/>
          <w:color w:val="auto"/>
          <w:kern w:val="2"/>
          <w:sz w:val="32"/>
          <w:szCs w:val="32"/>
          <w:lang w:val="zh-CN" w:eastAsia="zh-CN" w:bidi="ar-SA"/>
        </w:rPr>
        <w:t>，线上线下混合</w:t>
      </w:r>
      <w:r>
        <w:rPr>
          <w:rFonts w:hint="eastAsia" w:ascii="仿宋_GB2312" w:hAnsi="仿宋_GB2312" w:eastAsia="仿宋_GB2312" w:cs="仿宋_GB2312"/>
          <w:b w:val="0"/>
          <w:bCs/>
          <w:color w:val="auto"/>
          <w:kern w:val="2"/>
          <w:sz w:val="32"/>
          <w:szCs w:val="32"/>
          <w:lang w:val="en-US" w:eastAsia="zh-CN" w:bidi="ar-SA"/>
        </w:rPr>
        <w:t>教学</w:t>
      </w:r>
      <w:r>
        <w:rPr>
          <w:rFonts w:hint="eastAsia" w:ascii="仿宋_GB2312" w:hAnsi="仿宋_GB2312" w:eastAsia="仿宋_GB2312" w:cs="仿宋_GB2312"/>
          <w:b w:val="0"/>
          <w:bCs/>
          <w:color w:val="auto"/>
          <w:kern w:val="2"/>
          <w:sz w:val="32"/>
          <w:szCs w:val="32"/>
          <w:lang w:val="zh-CN" w:eastAsia="zh-CN" w:bidi="ar-SA"/>
        </w:rPr>
        <w:t>将合适的内容放在合适的形式中，实现教学效率与质量的平衡。理论类、法规类、通识类内容适合线上（可回放、可批量学习），实操类线下（安全可控、即时纠偏）。三维建模涉及大量原理性内容（如空三解算原理、坐标系转换），单纯看视频难以消化，案例讨论能帮助学员</w:t>
      </w:r>
      <w:r>
        <w:rPr>
          <w:rFonts w:hint="eastAsia" w:ascii="仿宋_GB2312" w:hAnsi="仿宋_GB2312" w:eastAsia="仿宋_GB2312" w:cs="仿宋_GB2312"/>
          <w:b w:val="0"/>
          <w:bCs/>
          <w:color w:val="auto"/>
          <w:kern w:val="2"/>
          <w:sz w:val="32"/>
          <w:szCs w:val="32"/>
          <w:lang w:val="en-US" w:eastAsia="zh-CN" w:bidi="ar-SA"/>
        </w:rPr>
        <w:t>更好</w:t>
      </w:r>
      <w:r>
        <w:rPr>
          <w:rFonts w:hint="eastAsia" w:ascii="仿宋_GB2312" w:hAnsi="仿宋_GB2312" w:eastAsia="仿宋_GB2312" w:cs="仿宋_GB2312"/>
          <w:b w:val="0"/>
          <w:bCs/>
          <w:color w:val="auto"/>
          <w:kern w:val="2"/>
          <w:sz w:val="32"/>
          <w:szCs w:val="32"/>
          <w:lang w:val="zh-CN" w:eastAsia="zh-CN" w:bidi="ar-SA"/>
        </w:rPr>
        <w:t>理解。无人机起降、航线飞行、像控点布设等环节存在真实安全风险，由教员在现场手把手指导和监督，</w:t>
      </w:r>
      <w:r>
        <w:rPr>
          <w:rFonts w:hint="eastAsia" w:ascii="仿宋_GB2312" w:hAnsi="仿宋_GB2312" w:eastAsia="仿宋_GB2312" w:cs="仿宋_GB2312"/>
          <w:b w:val="0"/>
          <w:bCs/>
          <w:color w:val="auto"/>
          <w:kern w:val="2"/>
          <w:sz w:val="32"/>
          <w:szCs w:val="32"/>
          <w:lang w:val="en-US" w:eastAsia="zh-CN" w:bidi="ar-SA"/>
        </w:rPr>
        <w:t>保证操作的安全</w:t>
      </w:r>
      <w:r>
        <w:rPr>
          <w:rFonts w:hint="eastAsia" w:ascii="仿宋_GB2312" w:hAnsi="仿宋_GB2312" w:eastAsia="仿宋_GB2312" w:cs="仿宋_GB2312"/>
          <w:b w:val="0"/>
          <w:bCs/>
          <w:color w:val="auto"/>
          <w:kern w:val="2"/>
          <w:sz w:val="32"/>
          <w:szCs w:val="32"/>
          <w:lang w:val="zh-CN" w:eastAsia="zh-CN" w:bidi="ar-SA"/>
        </w:rPr>
        <w:t>。内业建模可线上远程指导，数据处理主要在图形工作站上完成，通过远程桌面或直播演示可以实现教学指导，且允许学员课后反复练习，灵活性更高。</w:t>
      </w:r>
    </w:p>
    <w:tbl>
      <w:tblPr>
        <w:tblStyle w:val="7"/>
        <w:tblW w:w="13761"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gridCol w:w="4587"/>
      </w:tblGrid>
      <w:tr w14:paraId="59CA2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655C078D">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b w:val="0"/>
                <w:bCs/>
                <w:color w:val="auto"/>
                <w:kern w:val="2"/>
                <w:sz w:val="32"/>
                <w:szCs w:val="32"/>
                <w:vertAlign w:val="baseline"/>
                <w:lang w:val="zh-CN" w:eastAsia="zh-CN" w:bidi="ar-SA"/>
              </w:rPr>
            </w:pPr>
            <w:r>
              <w:rPr>
                <w:rFonts w:hint="eastAsia" w:ascii="仿宋_GB2312" w:hAnsi="仿宋_GB2312" w:eastAsia="仿宋_GB2312" w:cs="仿宋_GB2312"/>
              </w:rPr>
              <w:drawing>
                <wp:inline distT="0" distB="0" distL="114300" distR="114300">
                  <wp:extent cx="2160270" cy="1555750"/>
                  <wp:effectExtent l="0" t="0" r="11430" b="635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3"/>
                          <a:stretch>
                            <a:fillRect/>
                          </a:stretch>
                        </pic:blipFill>
                        <pic:spPr>
                          <a:xfrm>
                            <a:off x="0" y="0"/>
                            <a:ext cx="2160270" cy="1555750"/>
                          </a:xfrm>
                          <a:prstGeom prst="rect">
                            <a:avLst/>
                          </a:prstGeom>
                          <a:noFill/>
                          <a:ln>
                            <a:noFill/>
                          </a:ln>
                        </pic:spPr>
                      </pic:pic>
                    </a:graphicData>
                  </a:graphic>
                </wp:inline>
              </w:drawing>
            </w:r>
          </w:p>
        </w:tc>
        <w:tc>
          <w:tcPr>
            <w:tcW w:w="4587" w:type="dxa"/>
            <w:shd w:val="clear" w:color="auto" w:fill="auto"/>
            <w:vAlign w:val="center"/>
          </w:tcPr>
          <w:p w14:paraId="11281C3C">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kern w:val="2"/>
                <w:sz w:val="32"/>
                <w:szCs w:val="24"/>
                <w:lang w:val="en-US" w:eastAsia="zh-CN" w:bidi="ar-SA"/>
              </w:rPr>
            </w:pPr>
            <w:r>
              <w:rPr>
                <w:rFonts w:hint="eastAsia" w:ascii="仿宋_GB2312" w:hAnsi="仿宋_GB2312" w:eastAsia="仿宋_GB2312" w:cs="仿宋_GB2312"/>
              </w:rPr>
              <w:drawing>
                <wp:inline distT="0" distB="0" distL="114300" distR="114300">
                  <wp:extent cx="2160270" cy="1456690"/>
                  <wp:effectExtent l="0" t="0" r="11430" b="381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4"/>
                          <a:stretch>
                            <a:fillRect/>
                          </a:stretch>
                        </pic:blipFill>
                        <pic:spPr>
                          <a:xfrm>
                            <a:off x="0" y="0"/>
                            <a:ext cx="2160270" cy="1456690"/>
                          </a:xfrm>
                          <a:prstGeom prst="rect">
                            <a:avLst/>
                          </a:prstGeom>
                          <a:noFill/>
                          <a:ln>
                            <a:noFill/>
                          </a:ln>
                        </pic:spPr>
                      </pic:pic>
                    </a:graphicData>
                  </a:graphic>
                </wp:inline>
              </w:drawing>
            </w:r>
          </w:p>
        </w:tc>
        <w:tc>
          <w:tcPr>
            <w:tcW w:w="4587" w:type="dxa"/>
            <w:vAlign w:val="center"/>
          </w:tcPr>
          <w:p w14:paraId="6CA8BD5C">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rPr>
            </w:pPr>
          </w:p>
        </w:tc>
      </w:tr>
      <w:tr w14:paraId="4D6EC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085A3D1C">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sz w:val="24"/>
                <w:szCs w:val="21"/>
                <w:lang w:val="en-US" w:eastAsia="zh-CN"/>
              </w:rPr>
            </w:pPr>
            <w:r>
              <w:rPr>
                <w:rFonts w:hint="eastAsia" w:ascii="仿宋_GB2312" w:hAnsi="仿宋_GB2312" w:eastAsia="仿宋_GB2312" w:cs="仿宋_GB2312"/>
                <w:sz w:val="24"/>
                <w:szCs w:val="21"/>
                <w:lang w:val="en-US" w:eastAsia="zh-CN"/>
              </w:rPr>
              <w:t>图6 校园实景三维建模实操</w:t>
            </w:r>
          </w:p>
        </w:tc>
        <w:tc>
          <w:tcPr>
            <w:tcW w:w="4587" w:type="dxa"/>
            <w:shd w:val="clear" w:color="auto" w:fill="auto"/>
            <w:vAlign w:val="center"/>
          </w:tcPr>
          <w:p w14:paraId="4DAA3BA2">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sz w:val="24"/>
                <w:szCs w:val="21"/>
                <w:lang w:val="en-US" w:eastAsia="zh-CN"/>
              </w:rPr>
            </w:pPr>
            <w:r>
              <w:rPr>
                <w:rFonts w:hint="eastAsia" w:ascii="仿宋_GB2312" w:hAnsi="仿宋_GB2312" w:eastAsia="仿宋_GB2312" w:cs="仿宋_GB2312"/>
                <w:sz w:val="24"/>
                <w:szCs w:val="21"/>
                <w:lang w:val="en-US" w:eastAsia="zh-CN"/>
              </w:rPr>
              <w:t>图7 三维建模实训</w:t>
            </w:r>
          </w:p>
        </w:tc>
        <w:tc>
          <w:tcPr>
            <w:tcW w:w="4587" w:type="dxa"/>
            <w:vAlign w:val="center"/>
          </w:tcPr>
          <w:p w14:paraId="0B7FCFB2">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sz w:val="24"/>
                <w:szCs w:val="21"/>
                <w:lang w:val="en-US" w:eastAsia="zh-CN"/>
              </w:rPr>
            </w:pPr>
          </w:p>
        </w:tc>
      </w:tr>
      <w:tr w14:paraId="43927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587" w:type="dxa"/>
        </w:trPr>
        <w:tc>
          <w:tcPr>
            <w:tcW w:w="9174" w:type="dxa"/>
            <w:gridSpan w:val="2"/>
            <w:shd w:val="clear" w:color="auto" w:fill="auto"/>
            <w:vAlign w:val="center"/>
          </w:tcPr>
          <w:p w14:paraId="7F4A56EC">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b w:val="0"/>
                <w:bCs/>
                <w:color w:val="auto"/>
                <w:kern w:val="2"/>
                <w:sz w:val="32"/>
                <w:szCs w:val="32"/>
                <w:vertAlign w:val="baseline"/>
                <w:lang w:val="zh-CN" w:eastAsia="zh-CN" w:bidi="ar-SA"/>
              </w:rPr>
            </w:pPr>
            <w:r>
              <w:rPr>
                <w:rFonts w:hint="eastAsia" w:ascii="仿宋_GB2312" w:hAnsi="仿宋_GB2312" w:eastAsia="仿宋_GB2312" w:cs="仿宋_GB2312"/>
              </w:rPr>
              <w:drawing>
                <wp:inline distT="0" distB="0" distL="114300" distR="114300">
                  <wp:extent cx="2160270" cy="1588135"/>
                  <wp:effectExtent l="0" t="0" r="11430" b="1206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5"/>
                          <a:stretch>
                            <a:fillRect/>
                          </a:stretch>
                        </pic:blipFill>
                        <pic:spPr>
                          <a:xfrm>
                            <a:off x="0" y="0"/>
                            <a:ext cx="2160270" cy="1588135"/>
                          </a:xfrm>
                          <a:prstGeom prst="rect">
                            <a:avLst/>
                          </a:prstGeom>
                          <a:noFill/>
                          <a:ln>
                            <a:noFill/>
                          </a:ln>
                        </pic:spPr>
                      </pic:pic>
                    </a:graphicData>
                  </a:graphic>
                </wp:inline>
              </w:drawing>
            </w:r>
          </w:p>
        </w:tc>
      </w:tr>
      <w:tr w14:paraId="36F71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587" w:type="dxa"/>
        </w:trPr>
        <w:tc>
          <w:tcPr>
            <w:tcW w:w="9174" w:type="dxa"/>
            <w:gridSpan w:val="2"/>
            <w:shd w:val="clear" w:color="auto" w:fill="auto"/>
            <w:vAlign w:val="center"/>
          </w:tcPr>
          <w:p w14:paraId="09FCC8D8">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sz w:val="24"/>
                <w:szCs w:val="21"/>
                <w:lang w:val="en-US" w:eastAsia="zh-CN"/>
              </w:rPr>
            </w:pPr>
            <w:r>
              <w:rPr>
                <w:rFonts w:hint="eastAsia" w:ascii="仿宋_GB2312" w:hAnsi="仿宋_GB2312" w:eastAsia="仿宋_GB2312" w:cs="仿宋_GB2312"/>
                <w:sz w:val="24"/>
                <w:szCs w:val="21"/>
                <w:lang w:val="en-US" w:eastAsia="zh-CN"/>
              </w:rPr>
              <w:t>图8 理论学习</w:t>
            </w:r>
          </w:p>
        </w:tc>
      </w:tr>
    </w:tbl>
    <w:p w14:paraId="3326E2FC">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zh-CN" w:eastAsia="zh-CN" w:bidi="ar-SA"/>
        </w:rPr>
        <w:t>（</w:t>
      </w:r>
      <w:r>
        <w:rPr>
          <w:rFonts w:hint="eastAsia" w:ascii="仿宋_GB2312" w:hAnsi="仿宋_GB2312" w:eastAsia="仿宋_GB2312" w:cs="仿宋_GB2312"/>
          <w:b/>
          <w:color w:val="auto"/>
          <w:kern w:val="2"/>
          <w:sz w:val="32"/>
          <w:szCs w:val="32"/>
          <w:lang w:val="en-US" w:eastAsia="zh-CN" w:bidi="ar-SA"/>
        </w:rPr>
        <w:t>四</w:t>
      </w:r>
      <w:r>
        <w:rPr>
          <w:rFonts w:hint="eastAsia" w:ascii="仿宋_GB2312" w:hAnsi="仿宋_GB2312" w:eastAsia="仿宋_GB2312" w:cs="仿宋_GB2312"/>
          <w:b/>
          <w:color w:val="auto"/>
          <w:kern w:val="2"/>
          <w:sz w:val="32"/>
          <w:szCs w:val="32"/>
          <w:lang w:val="zh-CN" w:eastAsia="zh-CN" w:bidi="ar-SA"/>
        </w:rPr>
        <w:t>）培训时长</w:t>
      </w:r>
    </w:p>
    <w:p w14:paraId="23414B06">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总课时不低于120课时，覆盖三大模块（理论32课时+模拟与实践40课时+实操48课时）的完整内容。每课时40分钟参考职业培训常见设置。真机飞行≥总课时的30%，确保学员有足够的真机操作时间，避免模拟器飞得很好，真机不敢动的</w:t>
      </w:r>
      <w:r>
        <w:rPr>
          <w:rFonts w:hint="eastAsia" w:ascii="仿宋_GB2312" w:hAnsi="仿宋_GB2312" w:eastAsia="仿宋_GB2312" w:cs="仿宋_GB2312"/>
          <w:b w:val="0"/>
          <w:bCs/>
          <w:color w:val="auto"/>
          <w:kern w:val="2"/>
          <w:sz w:val="32"/>
          <w:szCs w:val="32"/>
          <w:lang w:val="en-US" w:eastAsia="zh-CN" w:bidi="ar-SA"/>
        </w:rPr>
        <w:t>情况</w:t>
      </w:r>
      <w:r>
        <w:rPr>
          <w:rFonts w:hint="eastAsia" w:ascii="仿宋_GB2312" w:hAnsi="仿宋_GB2312" w:eastAsia="仿宋_GB2312" w:cs="仿宋_GB2312"/>
          <w:b w:val="0"/>
          <w:bCs/>
          <w:color w:val="auto"/>
          <w:kern w:val="2"/>
          <w:sz w:val="32"/>
          <w:szCs w:val="32"/>
          <w:lang w:val="zh-CN" w:eastAsia="zh-CN" w:bidi="ar-SA"/>
        </w:rPr>
        <w:t>。数据处理与模型应用实践≥总课时的40%，是三维建模培训与传统纯飞行培训的最大区别——数据内业处理是产出成果的核心环节，必须</w:t>
      </w:r>
      <w:r>
        <w:rPr>
          <w:rFonts w:hint="eastAsia" w:ascii="仿宋_GB2312" w:hAnsi="仿宋_GB2312" w:eastAsia="仿宋_GB2312" w:cs="仿宋_GB2312"/>
          <w:b w:val="0"/>
          <w:bCs/>
          <w:color w:val="auto"/>
          <w:kern w:val="2"/>
          <w:sz w:val="32"/>
          <w:szCs w:val="32"/>
          <w:lang w:val="en-US" w:eastAsia="zh-CN" w:bidi="ar-SA"/>
        </w:rPr>
        <w:t>有</w:t>
      </w:r>
      <w:r>
        <w:rPr>
          <w:rFonts w:hint="eastAsia" w:ascii="仿宋_GB2312" w:hAnsi="仿宋_GB2312" w:eastAsia="仿宋_GB2312" w:cs="仿宋_GB2312"/>
          <w:b w:val="0"/>
          <w:bCs/>
          <w:color w:val="auto"/>
          <w:kern w:val="2"/>
          <w:sz w:val="32"/>
          <w:szCs w:val="32"/>
          <w:lang w:val="zh-CN" w:eastAsia="zh-CN" w:bidi="ar-SA"/>
        </w:rPr>
        <w:t>足够的练习时间。</w:t>
      </w:r>
    </w:p>
    <w:p w14:paraId="1042C3D5">
      <w:pPr>
        <w:keepNext w:val="0"/>
        <w:keepLines w:val="0"/>
        <w:pageBreakBefore w:val="0"/>
        <w:kinsoku/>
        <w:overflowPunct/>
        <w:topLinePunct w:val="0"/>
        <w:autoSpaceDE w:val="0"/>
        <w:autoSpaceDN w:val="0"/>
        <w:bidi w:val="0"/>
        <w:adjustRightInd w:val="0"/>
        <w:snapToGrid/>
        <w:spacing w:line="560" w:lineRule="exact"/>
        <w:ind w:left="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zh-CN" w:eastAsia="zh-CN" w:bidi="ar-SA"/>
        </w:rPr>
        <w:t>（</w:t>
      </w:r>
      <w:r>
        <w:rPr>
          <w:rFonts w:hint="eastAsia" w:ascii="仿宋_GB2312" w:hAnsi="仿宋_GB2312" w:eastAsia="仿宋_GB2312" w:cs="仿宋_GB2312"/>
          <w:b/>
          <w:color w:val="auto"/>
          <w:kern w:val="2"/>
          <w:sz w:val="32"/>
          <w:szCs w:val="32"/>
          <w:lang w:val="en-US" w:eastAsia="zh-CN" w:bidi="ar-SA"/>
        </w:rPr>
        <w:t>五</w:t>
      </w:r>
      <w:r>
        <w:rPr>
          <w:rFonts w:hint="eastAsia" w:ascii="仿宋_GB2312" w:hAnsi="仿宋_GB2312" w:eastAsia="仿宋_GB2312" w:cs="仿宋_GB2312"/>
          <w:b/>
          <w:color w:val="auto"/>
          <w:kern w:val="2"/>
          <w:sz w:val="32"/>
          <w:szCs w:val="32"/>
          <w:lang w:val="zh-CN" w:eastAsia="zh-CN" w:bidi="ar-SA"/>
        </w:rPr>
        <w:t>）培训内容</w:t>
      </w:r>
    </w:p>
    <w:p w14:paraId="59AD4406">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培训不是学术教育，目标是</w:t>
      </w:r>
      <w:r>
        <w:rPr>
          <w:rFonts w:hint="eastAsia" w:ascii="仿宋_GB2312" w:hAnsi="仿宋_GB2312" w:eastAsia="仿宋_GB2312" w:cs="仿宋_GB2312"/>
          <w:b w:val="0"/>
          <w:bCs/>
          <w:color w:val="auto"/>
          <w:kern w:val="2"/>
          <w:sz w:val="32"/>
          <w:szCs w:val="32"/>
          <w:lang w:val="en-US" w:eastAsia="zh-CN" w:bidi="ar-SA"/>
        </w:rPr>
        <w:t>能够具备</w:t>
      </w:r>
      <w:r>
        <w:rPr>
          <w:rFonts w:hint="eastAsia" w:ascii="仿宋_GB2312" w:hAnsi="仿宋_GB2312" w:eastAsia="仿宋_GB2312" w:cs="仿宋_GB2312"/>
          <w:b w:val="0"/>
          <w:bCs/>
          <w:color w:val="auto"/>
          <w:kern w:val="2"/>
          <w:sz w:val="32"/>
          <w:szCs w:val="32"/>
          <w:lang w:val="zh-CN" w:eastAsia="zh-CN" w:bidi="ar-SA"/>
        </w:rPr>
        <w:t>上岗</w:t>
      </w:r>
      <w:r>
        <w:rPr>
          <w:rFonts w:hint="eastAsia" w:ascii="仿宋_GB2312" w:hAnsi="仿宋_GB2312" w:eastAsia="仿宋_GB2312" w:cs="仿宋_GB2312"/>
          <w:b w:val="0"/>
          <w:bCs/>
          <w:color w:val="auto"/>
          <w:kern w:val="2"/>
          <w:sz w:val="32"/>
          <w:szCs w:val="32"/>
          <w:lang w:val="en-US" w:eastAsia="zh-CN" w:bidi="ar-SA"/>
        </w:rPr>
        <w:t>技能</w:t>
      </w:r>
      <w:r>
        <w:rPr>
          <w:rFonts w:hint="eastAsia" w:ascii="仿宋_GB2312" w:hAnsi="仿宋_GB2312" w:eastAsia="仿宋_GB2312" w:cs="仿宋_GB2312"/>
          <w:b w:val="0"/>
          <w:bCs/>
          <w:color w:val="auto"/>
          <w:kern w:val="2"/>
          <w:sz w:val="32"/>
          <w:szCs w:val="32"/>
          <w:lang w:val="zh-CN" w:eastAsia="zh-CN" w:bidi="ar-SA"/>
        </w:rPr>
        <w:t>，培训内容必须紧扣真实岗位能力</w:t>
      </w:r>
      <w:r>
        <w:rPr>
          <w:rFonts w:hint="eastAsia" w:ascii="仿宋_GB2312" w:hAnsi="仿宋_GB2312" w:eastAsia="仿宋_GB2312" w:cs="仿宋_GB2312"/>
          <w:b w:val="0"/>
          <w:bCs/>
          <w:color w:val="auto"/>
          <w:kern w:val="2"/>
          <w:sz w:val="32"/>
          <w:szCs w:val="32"/>
          <w:lang w:val="en-US" w:eastAsia="zh-CN" w:bidi="ar-SA"/>
        </w:rPr>
        <w:t>要求</w:t>
      </w:r>
      <w:r>
        <w:rPr>
          <w:rFonts w:hint="eastAsia" w:ascii="仿宋_GB2312" w:hAnsi="仿宋_GB2312" w:eastAsia="仿宋_GB2312" w:cs="仿宋_GB2312"/>
          <w:b w:val="0"/>
          <w:bCs/>
          <w:color w:val="auto"/>
          <w:kern w:val="2"/>
          <w:sz w:val="32"/>
          <w:szCs w:val="32"/>
          <w:lang w:val="zh-CN" w:eastAsia="zh-CN" w:bidi="ar-SA"/>
        </w:rPr>
        <w:t>，并将面向东盟的区域特色（应用场景、法规环境、文化差异）融入其中。附录A将培训内容分为理论学习、模拟与实践训练、实操模块三大板块，对应“理解原理→模拟验证→真机实操”的技能进阶路径。</w:t>
      </w:r>
    </w:p>
    <w:p w14:paraId="06C2CB1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公共通识模块包含“中国—东盟数字经济概况”“跨文化沟通”“数据安全与知识产权”，这是面向东盟培训的差异化内容，帮助学员理解产业背景和合规底线。专业核心模块覆盖摄影测量、LiDAR、航线规划、像控测量、空三处理、模型精度评定，与行业实际岗位能力要求对应。实践模块设置了“文化遗产精细化建模”和“城市建筑群建模”等具体场景，反映三维建模在东盟国家的典型应用（如古建筑保护、城市数字孪生）。综合演练要求学员独立或分组完成真实场景全流程项目，</w:t>
      </w:r>
      <w:r>
        <w:rPr>
          <w:rFonts w:hint="eastAsia" w:ascii="仿宋_GB2312" w:hAnsi="仿宋_GB2312" w:eastAsia="仿宋_GB2312" w:cs="仿宋_GB2312"/>
          <w:b w:val="0"/>
          <w:bCs/>
          <w:color w:val="auto"/>
          <w:kern w:val="2"/>
          <w:sz w:val="32"/>
          <w:szCs w:val="32"/>
          <w:lang w:val="en-US" w:eastAsia="zh-CN" w:bidi="ar-SA"/>
        </w:rPr>
        <w:t>是结业合格</w:t>
      </w:r>
      <w:r>
        <w:rPr>
          <w:rFonts w:hint="eastAsia" w:ascii="仿宋_GB2312" w:hAnsi="仿宋_GB2312" w:eastAsia="仿宋_GB2312" w:cs="仿宋_GB2312"/>
          <w:b w:val="0"/>
          <w:bCs/>
          <w:color w:val="auto"/>
          <w:kern w:val="2"/>
          <w:sz w:val="32"/>
          <w:szCs w:val="32"/>
          <w:lang w:val="zh-CN" w:eastAsia="zh-CN" w:bidi="ar-SA"/>
        </w:rPr>
        <w:t>的综合检验。</w:t>
      </w:r>
    </w:p>
    <w:p w14:paraId="012DC870">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zh-CN" w:eastAsia="zh-CN" w:bidi="ar-SA"/>
        </w:rPr>
        <w:t>（六）培训服务要求</w:t>
      </w:r>
    </w:p>
    <w:p w14:paraId="3C172F58">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en-US" w:eastAsia="zh-CN" w:bidi="ar-SA"/>
        </w:rPr>
        <w:t>6.1</w:t>
      </w:r>
      <w:r>
        <w:rPr>
          <w:rFonts w:hint="eastAsia" w:ascii="仿宋_GB2312" w:hAnsi="仿宋_GB2312" w:eastAsia="仿宋_GB2312" w:cs="仿宋_GB2312"/>
          <w:b/>
          <w:color w:val="auto"/>
          <w:kern w:val="2"/>
          <w:sz w:val="32"/>
          <w:szCs w:val="32"/>
          <w:lang w:val="zh-CN" w:eastAsia="zh-CN" w:bidi="ar-SA"/>
        </w:rPr>
        <w:t xml:space="preserve"> 制定培训方案</w:t>
      </w:r>
    </w:p>
    <w:p w14:paraId="1461CEDE">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0" w:firstLineChars="200"/>
        <w:jc w:val="left"/>
        <w:textAlignment w:val="auto"/>
        <w:rPr>
          <w:rFonts w:hint="eastAsia" w:ascii="仿宋_GB2312" w:hAnsi="仿宋_GB2312" w:eastAsia="仿宋_GB2312" w:cs="仿宋_GB2312"/>
          <w:b w:val="0"/>
          <w:bCs/>
          <w:color w:val="auto"/>
          <w:kern w:val="2"/>
          <w:sz w:val="32"/>
          <w:szCs w:val="32"/>
          <w:lang w:val="en-US" w:eastAsia="zh-CN" w:bidi="ar-SA"/>
        </w:rPr>
      </w:pPr>
      <w:r>
        <w:rPr>
          <w:rFonts w:hint="eastAsia" w:ascii="仿宋_GB2312" w:hAnsi="仿宋_GB2312" w:eastAsia="仿宋_GB2312" w:cs="仿宋_GB2312"/>
          <w:b w:val="0"/>
          <w:bCs/>
          <w:color w:val="auto"/>
          <w:kern w:val="2"/>
          <w:sz w:val="32"/>
          <w:szCs w:val="32"/>
          <w:lang w:val="zh-CN" w:eastAsia="zh-CN" w:bidi="ar-SA"/>
        </w:rPr>
        <w:t>培训机构应根据附录A的培训大纲，在每期开班前制定配套培训实施方案，</w:t>
      </w:r>
      <w:r>
        <w:rPr>
          <w:rFonts w:hint="eastAsia" w:ascii="仿宋_GB2312" w:hAnsi="仿宋_GB2312" w:eastAsia="仿宋_GB2312" w:cs="仿宋_GB2312"/>
          <w:b w:val="0"/>
          <w:bCs/>
          <w:color w:val="auto"/>
          <w:kern w:val="2"/>
          <w:sz w:val="32"/>
          <w:szCs w:val="32"/>
          <w:lang w:val="en-US" w:eastAsia="zh-CN" w:bidi="ar-SA"/>
        </w:rPr>
        <w:t>比如</w:t>
      </w:r>
      <w:r>
        <w:rPr>
          <w:rFonts w:hint="eastAsia" w:ascii="仿宋_GB2312" w:hAnsi="仿宋_GB2312" w:eastAsia="仿宋_GB2312" w:cs="仿宋_GB2312"/>
          <w:b w:val="0"/>
          <w:bCs/>
          <w:color w:val="auto"/>
          <w:kern w:val="2"/>
          <w:sz w:val="32"/>
          <w:szCs w:val="32"/>
          <w:lang w:val="zh-CN" w:eastAsia="zh-CN" w:bidi="ar-SA"/>
        </w:rPr>
        <w:t>：本期培训的目标定位与适用对象；各模块课程的具体授课方式、课时分配及进度安排；理论教学、仿真训练、数据处理实践、外业实操和综合演练各阶段的师资配备与分工；使用的无人机机型、载荷设备（倾斜相机/LiDAR等）、图形工作站及建模软件清单；外业实操场地选择与空域审批情况；考核节点、考核方式与成绩评定标准（含理论、实操、成果评审各自的权重及合格线）</w:t>
      </w:r>
      <w:r>
        <w:rPr>
          <w:rFonts w:hint="eastAsia" w:ascii="仿宋_GB2312" w:hAnsi="仿宋_GB2312" w:eastAsia="仿宋_GB2312" w:cs="仿宋_GB2312"/>
          <w:b w:val="0"/>
          <w:bCs/>
          <w:color w:val="auto"/>
          <w:kern w:val="2"/>
          <w:sz w:val="32"/>
          <w:szCs w:val="32"/>
          <w:lang w:val="en-US" w:eastAsia="zh-CN" w:bidi="ar-SA"/>
        </w:rPr>
        <w:t>等。</w:t>
      </w:r>
    </w:p>
    <w:p w14:paraId="0463BB66">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en-US" w:eastAsia="zh-CN" w:bidi="ar-SA"/>
        </w:rPr>
        <w:t>6.2</w:t>
      </w:r>
      <w:r>
        <w:rPr>
          <w:rFonts w:hint="eastAsia" w:ascii="仿宋_GB2312" w:hAnsi="仿宋_GB2312" w:eastAsia="仿宋_GB2312" w:cs="仿宋_GB2312"/>
          <w:b/>
          <w:color w:val="auto"/>
          <w:kern w:val="2"/>
          <w:sz w:val="32"/>
          <w:szCs w:val="32"/>
          <w:lang w:val="zh-CN" w:eastAsia="zh-CN" w:bidi="ar-SA"/>
        </w:rPr>
        <w:t>招生</w:t>
      </w:r>
    </w:p>
    <w:p w14:paraId="66444FE8">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培训机构应依据第6章规定的培训对象要求开展招生工作，审核学员身份证明、年龄、身体状况等准入条件。面向东盟国家招生时，</w:t>
      </w:r>
      <w:r>
        <w:rPr>
          <w:rFonts w:hint="eastAsia" w:ascii="仿宋_GB2312" w:hAnsi="仿宋_GB2312" w:eastAsia="仿宋_GB2312" w:cs="仿宋_GB2312"/>
          <w:b w:val="0"/>
          <w:bCs/>
          <w:color w:val="auto"/>
          <w:kern w:val="2"/>
          <w:sz w:val="32"/>
          <w:szCs w:val="32"/>
          <w:lang w:val="en-US" w:eastAsia="zh-CN" w:bidi="ar-SA"/>
        </w:rPr>
        <w:t>有条件也可</w:t>
      </w:r>
      <w:r>
        <w:rPr>
          <w:rFonts w:hint="eastAsia" w:ascii="仿宋_GB2312" w:hAnsi="仿宋_GB2312" w:eastAsia="仿宋_GB2312" w:cs="仿宋_GB2312"/>
          <w:b w:val="0"/>
          <w:bCs/>
          <w:color w:val="auto"/>
          <w:kern w:val="2"/>
          <w:sz w:val="32"/>
          <w:szCs w:val="32"/>
          <w:lang w:val="zh-CN" w:eastAsia="zh-CN" w:bidi="ar-SA"/>
        </w:rPr>
        <w:t>通过当地合作机构或线上渠道发布招生信息。</w:t>
      </w:r>
    </w:p>
    <w:p w14:paraId="2C2F1756">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en-US" w:eastAsia="zh-CN" w:bidi="ar-SA"/>
        </w:rPr>
        <w:t>6.3</w:t>
      </w:r>
      <w:r>
        <w:rPr>
          <w:rFonts w:hint="eastAsia" w:ascii="仿宋_GB2312" w:hAnsi="仿宋_GB2312" w:eastAsia="仿宋_GB2312" w:cs="仿宋_GB2312"/>
          <w:b/>
          <w:color w:val="auto"/>
          <w:kern w:val="2"/>
          <w:sz w:val="32"/>
          <w:szCs w:val="32"/>
          <w:lang w:val="zh-CN" w:eastAsia="zh-CN" w:bidi="ar-SA"/>
        </w:rPr>
        <w:t>入学测评</w:t>
      </w:r>
    </w:p>
    <w:p w14:paraId="3AC44E2F">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入学测评应采用标准化测试工具，重点考察空间想象能力、色彩辨识能力、计算机操作基础、安全意识</w:t>
      </w:r>
      <w:r>
        <w:rPr>
          <w:rFonts w:hint="eastAsia" w:ascii="仿宋_GB2312" w:hAnsi="仿宋_GB2312" w:eastAsia="仿宋_GB2312" w:cs="仿宋_GB2312"/>
          <w:b w:val="0"/>
          <w:bCs/>
          <w:color w:val="auto"/>
          <w:kern w:val="2"/>
          <w:sz w:val="32"/>
          <w:szCs w:val="32"/>
          <w:lang w:val="en-US" w:eastAsia="zh-CN" w:bidi="ar-SA"/>
        </w:rPr>
        <w:t>等。</w:t>
      </w:r>
      <w:r>
        <w:rPr>
          <w:rFonts w:hint="eastAsia" w:ascii="仿宋_GB2312" w:hAnsi="仿宋_GB2312" w:eastAsia="仿宋_GB2312" w:cs="仿宋_GB2312"/>
          <w:b w:val="0"/>
          <w:bCs/>
          <w:color w:val="auto"/>
          <w:kern w:val="2"/>
          <w:sz w:val="32"/>
          <w:szCs w:val="32"/>
          <w:lang w:val="zh-CN" w:eastAsia="zh-CN" w:bidi="ar-SA"/>
        </w:rPr>
        <w:t>测评结果形成个体学习建议，作为后期教学分组和个别辅导的依据。培训机构应在学员入学前与其签署书面培训协议。</w:t>
      </w:r>
    </w:p>
    <w:p w14:paraId="625ACD79">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en-US" w:eastAsia="zh-CN" w:bidi="ar-SA"/>
        </w:rPr>
        <w:t>6.4</w:t>
      </w:r>
      <w:r>
        <w:rPr>
          <w:rFonts w:hint="eastAsia" w:ascii="仿宋_GB2312" w:hAnsi="仿宋_GB2312" w:eastAsia="仿宋_GB2312" w:cs="仿宋_GB2312"/>
          <w:b/>
          <w:color w:val="auto"/>
          <w:kern w:val="2"/>
          <w:sz w:val="32"/>
          <w:szCs w:val="32"/>
          <w:lang w:val="zh-CN" w:eastAsia="zh-CN" w:bidi="ar-SA"/>
        </w:rPr>
        <w:t>建立学员档案</w:t>
      </w:r>
    </w:p>
    <w:p w14:paraId="37BE9DA5">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培训机构应为每位学员建立独立的培训档案，并在培训过程中持续更新。档案内容包括报名阶段、入学阶段、培训阶段、结业阶段</w:t>
      </w:r>
      <w:r>
        <w:rPr>
          <w:rFonts w:hint="eastAsia" w:ascii="仿宋_GB2312" w:hAnsi="仿宋_GB2312" w:eastAsia="仿宋_GB2312" w:cs="仿宋_GB2312"/>
          <w:b w:val="0"/>
          <w:bCs/>
          <w:color w:val="auto"/>
          <w:kern w:val="2"/>
          <w:sz w:val="32"/>
          <w:szCs w:val="32"/>
          <w:lang w:val="en-US" w:eastAsia="zh-CN" w:bidi="ar-SA"/>
        </w:rPr>
        <w:t>等阶段相关材料，以及</w:t>
      </w:r>
      <w:r>
        <w:rPr>
          <w:rFonts w:hint="eastAsia" w:ascii="仿宋_GB2312" w:hAnsi="仿宋_GB2312" w:eastAsia="仿宋_GB2312" w:cs="仿宋_GB2312"/>
          <w:b w:val="0"/>
          <w:bCs/>
          <w:color w:val="auto"/>
          <w:kern w:val="2"/>
          <w:sz w:val="32"/>
          <w:szCs w:val="32"/>
          <w:lang w:val="zh-CN" w:eastAsia="zh-CN" w:bidi="ar-SA"/>
        </w:rPr>
        <w:t>其他培训期间发生的异常情况记录及处理结果。档案宜采用电子化管理，并妥善保存，涉及跨境学员的档案存储应遵守数据出境相关法规。</w:t>
      </w:r>
    </w:p>
    <w:p w14:paraId="5AA2612A">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3" w:firstLineChars="200"/>
        <w:jc w:val="left"/>
        <w:textAlignment w:val="auto"/>
        <w:rPr>
          <w:rFonts w:hint="eastAsia" w:ascii="仿宋_GB2312" w:hAnsi="仿宋_GB2312" w:eastAsia="仿宋_GB2312" w:cs="仿宋_GB2312"/>
          <w:b/>
          <w:color w:val="auto"/>
          <w:kern w:val="2"/>
          <w:sz w:val="32"/>
          <w:szCs w:val="32"/>
          <w:lang w:val="zh-CN" w:eastAsia="zh-CN" w:bidi="ar-SA"/>
        </w:rPr>
      </w:pPr>
      <w:r>
        <w:rPr>
          <w:rFonts w:hint="eastAsia" w:ascii="仿宋_GB2312" w:hAnsi="仿宋_GB2312" w:eastAsia="仿宋_GB2312" w:cs="仿宋_GB2312"/>
          <w:b/>
          <w:color w:val="auto"/>
          <w:kern w:val="2"/>
          <w:sz w:val="32"/>
          <w:szCs w:val="32"/>
          <w:lang w:val="en-US" w:eastAsia="zh-CN" w:bidi="ar-SA"/>
        </w:rPr>
        <w:t>6.5</w:t>
      </w:r>
      <w:r>
        <w:rPr>
          <w:rFonts w:hint="eastAsia" w:ascii="仿宋_GB2312" w:hAnsi="仿宋_GB2312" w:eastAsia="仿宋_GB2312" w:cs="仿宋_GB2312"/>
          <w:b/>
          <w:color w:val="auto"/>
          <w:kern w:val="2"/>
          <w:sz w:val="32"/>
          <w:szCs w:val="32"/>
          <w:lang w:val="zh-CN" w:eastAsia="zh-CN" w:bidi="ar-SA"/>
        </w:rPr>
        <w:t>教学实施</w:t>
      </w:r>
    </w:p>
    <w:p w14:paraId="17D848C2">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培训机构应严格按照附录A的培训大纲和培训方案组织实施教学。理论教学应注重与后续实践的衔接，线上理论课程应提供回放功能，方便学员课后复习。仿真训练</w:t>
      </w:r>
      <w:r>
        <w:rPr>
          <w:rFonts w:hint="eastAsia" w:ascii="仿宋_GB2312" w:hAnsi="仿宋_GB2312" w:eastAsia="仿宋_GB2312" w:cs="仿宋_GB2312"/>
          <w:b w:val="0"/>
          <w:bCs/>
          <w:color w:val="auto"/>
          <w:kern w:val="2"/>
          <w:sz w:val="32"/>
          <w:szCs w:val="32"/>
          <w:lang w:val="en-US" w:eastAsia="zh-CN" w:bidi="ar-SA"/>
        </w:rPr>
        <w:t>可以</w:t>
      </w:r>
      <w:r>
        <w:rPr>
          <w:rFonts w:hint="eastAsia" w:ascii="仿宋_GB2312" w:hAnsi="仿宋_GB2312" w:eastAsia="仿宋_GB2312" w:cs="仿宋_GB2312"/>
          <w:b w:val="0"/>
          <w:bCs/>
          <w:color w:val="auto"/>
          <w:kern w:val="2"/>
          <w:sz w:val="32"/>
          <w:szCs w:val="32"/>
          <w:lang w:val="zh-CN" w:eastAsia="zh-CN" w:bidi="ar-SA"/>
        </w:rPr>
        <w:t>使用无人机模拟器和建模仿真软件进行基础操作训练，</w:t>
      </w:r>
      <w:r>
        <w:rPr>
          <w:rFonts w:hint="eastAsia" w:ascii="仿宋_GB2312" w:hAnsi="仿宋_GB2312" w:eastAsia="仿宋_GB2312" w:cs="仿宋_GB2312"/>
          <w:b w:val="0"/>
          <w:bCs/>
          <w:color w:val="auto"/>
          <w:kern w:val="2"/>
          <w:sz w:val="32"/>
          <w:szCs w:val="32"/>
          <w:lang w:val="en-US" w:eastAsia="zh-CN" w:bidi="ar-SA"/>
        </w:rPr>
        <w:t>熟悉</w:t>
      </w:r>
      <w:r>
        <w:rPr>
          <w:rFonts w:hint="eastAsia" w:ascii="仿宋_GB2312" w:hAnsi="仿宋_GB2312" w:eastAsia="仿宋_GB2312" w:cs="仿宋_GB2312"/>
          <w:b w:val="0"/>
          <w:bCs/>
          <w:color w:val="auto"/>
          <w:kern w:val="2"/>
          <w:sz w:val="32"/>
          <w:szCs w:val="32"/>
          <w:lang w:val="zh-CN" w:eastAsia="zh-CN" w:bidi="ar-SA"/>
        </w:rPr>
        <w:t>不同地形和气象条件下的航线规划模拟、典型故障和应急情况处置演练、数据采集参数设置对后续建模影响的模拟对比</w:t>
      </w:r>
      <w:r>
        <w:rPr>
          <w:rFonts w:hint="eastAsia" w:ascii="仿宋_GB2312" w:hAnsi="仿宋_GB2312" w:eastAsia="仿宋_GB2312" w:cs="仿宋_GB2312"/>
          <w:b w:val="0"/>
          <w:bCs/>
          <w:color w:val="auto"/>
          <w:kern w:val="2"/>
          <w:sz w:val="32"/>
          <w:szCs w:val="32"/>
          <w:lang w:val="en-US" w:eastAsia="zh-CN" w:bidi="ar-SA"/>
        </w:rPr>
        <w:t>等，为后续</w:t>
      </w:r>
      <w:r>
        <w:rPr>
          <w:rFonts w:hint="eastAsia" w:ascii="仿宋_GB2312" w:hAnsi="仿宋_GB2312" w:eastAsia="仿宋_GB2312" w:cs="仿宋_GB2312"/>
          <w:b w:val="0"/>
          <w:bCs/>
          <w:color w:val="auto"/>
          <w:kern w:val="2"/>
          <w:sz w:val="32"/>
          <w:szCs w:val="32"/>
          <w:lang w:val="zh-CN" w:eastAsia="zh-CN" w:bidi="ar-SA"/>
        </w:rPr>
        <w:t>进入外业实操</w:t>
      </w:r>
      <w:r>
        <w:rPr>
          <w:rFonts w:hint="eastAsia" w:ascii="仿宋_GB2312" w:hAnsi="仿宋_GB2312" w:eastAsia="仿宋_GB2312" w:cs="仿宋_GB2312"/>
          <w:b w:val="0"/>
          <w:bCs/>
          <w:color w:val="auto"/>
          <w:kern w:val="2"/>
          <w:sz w:val="32"/>
          <w:szCs w:val="32"/>
          <w:lang w:val="en-US" w:eastAsia="zh-CN" w:bidi="ar-SA"/>
        </w:rPr>
        <w:t>打下基础。</w:t>
      </w:r>
      <w:r>
        <w:rPr>
          <w:rFonts w:hint="eastAsia" w:ascii="仿宋_GB2312" w:hAnsi="仿宋_GB2312" w:eastAsia="仿宋_GB2312" w:cs="仿宋_GB2312"/>
          <w:b w:val="0"/>
          <w:bCs/>
          <w:color w:val="auto"/>
          <w:kern w:val="2"/>
          <w:sz w:val="32"/>
          <w:szCs w:val="32"/>
          <w:lang w:val="zh-CN" w:eastAsia="zh-CN" w:bidi="ar-SA"/>
        </w:rPr>
        <w:t>外业实操由飞行教员现场指导，每次外业实操应做好飞行日志记录，遇恶劣天气或其他不安全因素，</w:t>
      </w:r>
      <w:r>
        <w:rPr>
          <w:rFonts w:hint="eastAsia" w:ascii="仿宋_GB2312" w:hAnsi="仿宋_GB2312" w:eastAsia="仿宋_GB2312" w:cs="仿宋_GB2312"/>
          <w:b w:val="0"/>
          <w:bCs/>
          <w:color w:val="auto"/>
          <w:kern w:val="2"/>
          <w:sz w:val="32"/>
          <w:szCs w:val="32"/>
          <w:lang w:val="en-US" w:eastAsia="zh-CN" w:bidi="ar-SA"/>
        </w:rPr>
        <w:t>及时</w:t>
      </w:r>
      <w:r>
        <w:rPr>
          <w:rFonts w:hint="eastAsia" w:ascii="仿宋_GB2312" w:hAnsi="仿宋_GB2312" w:eastAsia="仿宋_GB2312" w:cs="仿宋_GB2312"/>
          <w:b w:val="0"/>
          <w:bCs/>
          <w:color w:val="auto"/>
          <w:kern w:val="2"/>
          <w:sz w:val="32"/>
          <w:szCs w:val="32"/>
          <w:lang w:val="zh-CN" w:eastAsia="zh-CN" w:bidi="ar-SA"/>
        </w:rPr>
        <w:t>中止训练。</w:t>
      </w:r>
    </w:p>
    <w:tbl>
      <w:tblPr>
        <w:tblStyle w:val="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7DFAF2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shd w:val="clear" w:color="auto" w:fill="auto"/>
            <w:vAlign w:val="center"/>
          </w:tcPr>
          <w:p w14:paraId="5009A9FC">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b w:val="0"/>
                <w:bCs/>
                <w:color w:val="auto"/>
                <w:kern w:val="2"/>
                <w:sz w:val="32"/>
                <w:szCs w:val="32"/>
                <w:vertAlign w:val="baseline"/>
                <w:lang w:val="zh-CN" w:eastAsia="zh-CN" w:bidi="ar-SA"/>
              </w:rPr>
            </w:pPr>
            <w:r>
              <w:rPr>
                <w:rFonts w:hint="eastAsia" w:ascii="仿宋_GB2312" w:hAnsi="仿宋_GB2312" w:eastAsia="仿宋_GB2312" w:cs="仿宋_GB2312"/>
              </w:rPr>
              <w:drawing>
                <wp:inline distT="0" distB="0" distL="114300" distR="114300">
                  <wp:extent cx="1800225" cy="1168400"/>
                  <wp:effectExtent l="0" t="0" r="3175" b="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16"/>
                          <a:stretch>
                            <a:fillRect/>
                          </a:stretch>
                        </pic:blipFill>
                        <pic:spPr>
                          <a:xfrm>
                            <a:off x="0" y="0"/>
                            <a:ext cx="1800225" cy="1168400"/>
                          </a:xfrm>
                          <a:prstGeom prst="rect">
                            <a:avLst/>
                          </a:prstGeom>
                          <a:noFill/>
                          <a:ln>
                            <a:noFill/>
                          </a:ln>
                        </pic:spPr>
                      </pic:pic>
                    </a:graphicData>
                  </a:graphic>
                </wp:inline>
              </w:drawing>
            </w:r>
          </w:p>
        </w:tc>
      </w:tr>
      <w:tr w14:paraId="66B00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00" w:type="pct"/>
            <w:shd w:val="clear" w:color="auto" w:fill="auto"/>
            <w:vAlign w:val="center"/>
          </w:tcPr>
          <w:p w14:paraId="3308427A">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sz w:val="24"/>
                <w:szCs w:val="21"/>
                <w:lang w:val="en-US" w:eastAsia="zh-CN"/>
              </w:rPr>
            </w:pPr>
            <w:r>
              <w:rPr>
                <w:rFonts w:hint="eastAsia" w:ascii="仿宋_GB2312" w:hAnsi="仿宋_GB2312" w:eastAsia="仿宋_GB2312" w:cs="仿宋_GB2312"/>
                <w:sz w:val="24"/>
                <w:szCs w:val="21"/>
                <w:lang w:val="en-US" w:eastAsia="zh-CN"/>
              </w:rPr>
              <w:t>图9 无人机起飞准备</w:t>
            </w:r>
          </w:p>
        </w:tc>
      </w:tr>
    </w:tbl>
    <w:p w14:paraId="55CC378A">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在培训后期，学员应独立或分组完成一个完整的三维建模项目，涵盖需求分析、方案设计、外业数据采集、内业数据处理、模型交付和成果汇报的全流程。综合演练宜采用真实场景或模拟真实场景，演练成果作为结业考核中综合答辩环节的重要依据。</w:t>
      </w:r>
    </w:p>
    <w:p w14:paraId="1AB5B7C2">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3" w:firstLineChars="200"/>
        <w:jc w:val="left"/>
        <w:textAlignment w:val="auto"/>
        <w:rPr>
          <w:rFonts w:hint="eastAsia" w:ascii="仿宋_GB2312" w:hAnsi="仿宋_GB2312" w:eastAsia="仿宋_GB2312" w:cs="仿宋_GB2312"/>
          <w:b/>
          <w:color w:val="auto"/>
          <w:kern w:val="2"/>
          <w:sz w:val="32"/>
          <w:szCs w:val="32"/>
          <w:lang w:val="en-US" w:eastAsia="zh-CN" w:bidi="ar-SA"/>
        </w:rPr>
      </w:pPr>
      <w:r>
        <w:rPr>
          <w:rFonts w:hint="eastAsia" w:ascii="仿宋_GB2312" w:hAnsi="仿宋_GB2312" w:eastAsia="仿宋_GB2312" w:cs="仿宋_GB2312"/>
          <w:b/>
          <w:color w:val="auto"/>
          <w:kern w:val="2"/>
          <w:sz w:val="32"/>
          <w:szCs w:val="32"/>
          <w:lang w:val="en-US" w:eastAsia="zh-CN" w:bidi="ar-SA"/>
        </w:rPr>
        <w:t>6.6</w:t>
      </w:r>
      <w:r>
        <w:rPr>
          <w:rFonts w:hint="eastAsia" w:ascii="仿宋_GB2312" w:hAnsi="仿宋_GB2312" w:eastAsia="仿宋_GB2312" w:cs="仿宋_GB2312"/>
          <w:b/>
          <w:color w:val="auto"/>
          <w:kern w:val="2"/>
          <w:sz w:val="32"/>
          <w:szCs w:val="32"/>
          <w:lang w:val="zh-CN" w:eastAsia="zh-CN" w:bidi="ar-SA"/>
        </w:rPr>
        <w:t>结业考核</w:t>
      </w:r>
      <w:r>
        <w:rPr>
          <w:rFonts w:hint="eastAsia" w:ascii="仿宋_GB2312" w:hAnsi="仿宋_GB2312" w:eastAsia="仿宋_GB2312" w:cs="仿宋_GB2312"/>
          <w:b/>
          <w:color w:val="auto"/>
          <w:kern w:val="2"/>
          <w:sz w:val="32"/>
          <w:szCs w:val="32"/>
          <w:lang w:val="en-US" w:eastAsia="zh-CN" w:bidi="ar-SA"/>
        </w:rPr>
        <w:t>和证书发放</w:t>
      </w:r>
    </w:p>
    <w:p w14:paraId="1F966780">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0" w:firstLineChars="200"/>
        <w:jc w:val="left"/>
        <w:textAlignment w:val="auto"/>
        <w:rPr>
          <w:rFonts w:hint="eastAsia" w:ascii="仿宋_GB2312" w:hAnsi="仿宋_GB2312" w:eastAsia="仿宋_GB2312" w:cs="仿宋_GB2312"/>
          <w:b w:val="0"/>
          <w:bCs/>
          <w:color w:val="auto"/>
          <w:kern w:val="2"/>
          <w:sz w:val="32"/>
          <w:szCs w:val="32"/>
          <w:lang w:val="zh-CN" w:eastAsia="zh-CN" w:bidi="ar-SA"/>
        </w:rPr>
      </w:pPr>
      <w:r>
        <w:rPr>
          <w:rFonts w:hint="eastAsia" w:ascii="仿宋_GB2312" w:hAnsi="仿宋_GB2312" w:eastAsia="仿宋_GB2312" w:cs="仿宋_GB2312"/>
          <w:b w:val="0"/>
          <w:bCs/>
          <w:color w:val="auto"/>
          <w:kern w:val="2"/>
          <w:sz w:val="32"/>
          <w:szCs w:val="32"/>
          <w:lang w:val="zh-CN" w:eastAsia="zh-CN" w:bidi="ar-SA"/>
        </w:rPr>
        <w:t>结业考核由理论考试、实操考核和综合答辩三部分组成，各部分均合格后方可准予结业。理论考试采用机考，考试内容涵盖民用航空法规与飞行安全、摄影测量与遥感原理、航线规划与数据采集规范、GNSS测量与像控点布设、三维数据处理流程与模型精度评定、面向东盟的数据合规与知识产权常识等。实操考核分数据采集和数据处理两部分，学员独立完成指定区域的数据采集任务，</w:t>
      </w:r>
      <w:r>
        <w:rPr>
          <w:rFonts w:hint="eastAsia" w:ascii="仿宋_GB2312" w:hAnsi="仿宋_GB2312" w:eastAsia="仿宋_GB2312" w:cs="仿宋_GB2312"/>
          <w:b w:val="0"/>
          <w:bCs/>
          <w:color w:val="auto"/>
          <w:kern w:val="2"/>
          <w:sz w:val="32"/>
          <w:szCs w:val="32"/>
          <w:lang w:val="en-US" w:eastAsia="zh-CN" w:bidi="ar-SA"/>
        </w:rPr>
        <w:t>并</w:t>
      </w:r>
      <w:r>
        <w:rPr>
          <w:rFonts w:hint="eastAsia" w:ascii="仿宋_GB2312" w:hAnsi="仿宋_GB2312" w:eastAsia="仿宋_GB2312" w:cs="仿宋_GB2312"/>
          <w:b w:val="0"/>
          <w:bCs/>
          <w:color w:val="auto"/>
          <w:kern w:val="2"/>
          <w:sz w:val="32"/>
          <w:szCs w:val="32"/>
          <w:lang w:val="zh-CN" w:eastAsia="zh-CN" w:bidi="ar-SA"/>
        </w:rPr>
        <w:t>在规定时间内，独立对考核数据集完成从空三解算到模型生成的全流程处理，提交的模型成果应达到预定的精度标准。学员完成全部培训课程并通过三项考核后，培训机构应颁发结业证书。</w:t>
      </w:r>
    </w:p>
    <w:tbl>
      <w:tblPr>
        <w:tblStyle w:val="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15B9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shd w:val="clear" w:color="auto" w:fill="auto"/>
            <w:vAlign w:val="center"/>
          </w:tcPr>
          <w:p w14:paraId="2EDB641A">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b w:val="0"/>
                <w:bCs/>
                <w:color w:val="auto"/>
                <w:kern w:val="2"/>
                <w:sz w:val="32"/>
                <w:szCs w:val="32"/>
                <w:vertAlign w:val="baseline"/>
                <w:lang w:val="zh-CN" w:eastAsia="zh-CN" w:bidi="ar-SA"/>
              </w:rPr>
            </w:pPr>
            <w:r>
              <w:rPr>
                <w:rFonts w:hint="eastAsia" w:ascii="仿宋_GB2312" w:hAnsi="仿宋_GB2312" w:eastAsia="仿宋_GB2312" w:cs="仿宋_GB2312"/>
              </w:rPr>
              <w:drawing>
                <wp:inline distT="0" distB="0" distL="114300" distR="114300">
                  <wp:extent cx="2879725" cy="1336675"/>
                  <wp:effectExtent l="0" t="0" r="3175" b="952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7"/>
                          <a:stretch>
                            <a:fillRect/>
                          </a:stretch>
                        </pic:blipFill>
                        <pic:spPr>
                          <a:xfrm>
                            <a:off x="0" y="0"/>
                            <a:ext cx="2879725" cy="1336675"/>
                          </a:xfrm>
                          <a:prstGeom prst="rect">
                            <a:avLst/>
                          </a:prstGeom>
                          <a:noFill/>
                          <a:ln>
                            <a:noFill/>
                          </a:ln>
                        </pic:spPr>
                      </pic:pic>
                    </a:graphicData>
                  </a:graphic>
                </wp:inline>
              </w:drawing>
            </w:r>
          </w:p>
        </w:tc>
      </w:tr>
      <w:tr w14:paraId="36A4B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shd w:val="clear" w:color="auto" w:fill="auto"/>
            <w:vAlign w:val="center"/>
          </w:tcPr>
          <w:p w14:paraId="7FD8B48D">
            <w:pPr>
              <w:keepNext w:val="0"/>
              <w:keepLines w:val="0"/>
              <w:pageBreakBefore w:val="0"/>
              <w:kinsoku/>
              <w:overflowPunct/>
              <w:topLinePunct w:val="0"/>
              <w:autoSpaceDE w:val="0"/>
              <w:autoSpaceDN w:val="0"/>
              <w:bidi w:val="0"/>
              <w:adjustRightInd w:val="0"/>
              <w:snapToGrid/>
              <w:spacing w:line="240" w:lineRule="auto"/>
              <w:ind w:left="0" w:leftChars="0" w:firstLine="0" w:firstLineChars="0"/>
              <w:jc w:val="center"/>
              <w:textAlignment w:val="auto"/>
              <w:rPr>
                <w:rFonts w:hint="eastAsia" w:ascii="仿宋_GB2312" w:hAnsi="仿宋_GB2312" w:eastAsia="仿宋_GB2312" w:cs="仿宋_GB2312"/>
                <w:sz w:val="24"/>
                <w:szCs w:val="21"/>
                <w:lang w:val="en-US" w:eastAsia="zh-CN"/>
              </w:rPr>
            </w:pPr>
            <w:r>
              <w:rPr>
                <w:rFonts w:hint="eastAsia" w:ascii="仿宋_GB2312" w:hAnsi="仿宋_GB2312" w:eastAsia="仿宋_GB2312" w:cs="仿宋_GB2312"/>
                <w:sz w:val="24"/>
                <w:szCs w:val="21"/>
                <w:lang w:val="en-US" w:eastAsia="zh-CN"/>
              </w:rPr>
              <w:t>图10 数字孪生校园模型</w:t>
            </w:r>
          </w:p>
        </w:tc>
      </w:tr>
    </w:tbl>
    <w:p w14:paraId="6BD40874">
      <w:pPr>
        <w:keepNext w:val="0"/>
        <w:keepLines w:val="0"/>
        <w:pageBreakBefore w:val="0"/>
        <w:numPr>
          <w:ilvl w:val="0"/>
          <w:numId w:val="0"/>
        </w:numPr>
        <w:kinsoku/>
        <w:overflowPunct/>
        <w:topLinePunct w:val="0"/>
        <w:autoSpaceDE w:val="0"/>
        <w:autoSpaceDN w:val="0"/>
        <w:bidi w:val="0"/>
        <w:adjustRightInd w:val="0"/>
        <w:snapToGrid/>
        <w:spacing w:line="560" w:lineRule="exact"/>
        <w:ind w:left="0" w:leftChars="0" w:firstLine="643" w:firstLineChars="200"/>
        <w:jc w:val="left"/>
        <w:textAlignment w:val="auto"/>
        <w:rPr>
          <w:rFonts w:hint="default" w:ascii="仿宋_GB2312" w:hAnsi="宋体" w:eastAsia="仿宋_GB2312" w:cs="Times New Roman"/>
          <w:b/>
          <w:color w:val="auto"/>
          <w:kern w:val="2"/>
          <w:sz w:val="32"/>
          <w:szCs w:val="32"/>
          <w:lang w:val="zh-CN" w:eastAsia="zh-CN" w:bidi="ar-SA"/>
        </w:rPr>
      </w:pPr>
      <w:r>
        <w:rPr>
          <w:rFonts w:hint="eastAsia" w:ascii="仿宋_GB2312" w:hAnsi="宋体" w:eastAsia="仿宋_GB2312" w:cs="Times New Roman"/>
          <w:b/>
          <w:color w:val="auto"/>
          <w:kern w:val="2"/>
          <w:sz w:val="32"/>
          <w:szCs w:val="32"/>
          <w:lang w:val="zh-CN" w:eastAsia="zh-CN" w:bidi="ar-SA"/>
        </w:rPr>
        <w:t>（七）</w:t>
      </w:r>
      <w:r>
        <w:rPr>
          <w:rFonts w:hint="default" w:ascii="仿宋_GB2312" w:hAnsi="宋体" w:eastAsia="仿宋_GB2312" w:cs="Times New Roman"/>
          <w:b/>
          <w:color w:val="auto"/>
          <w:kern w:val="2"/>
          <w:sz w:val="32"/>
          <w:szCs w:val="32"/>
          <w:lang w:val="zh-CN" w:eastAsia="zh-CN" w:bidi="ar-SA"/>
        </w:rPr>
        <w:t>服务评价、投诉处理与档案管理</w:t>
      </w:r>
    </w:p>
    <w:p w14:paraId="6ACD9BB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eastAsia="仿宋_GB2312" w:cs="Times New Roman"/>
          <w:b w:val="0"/>
          <w:bCs/>
          <w:color w:val="auto"/>
          <w:kern w:val="2"/>
          <w:sz w:val="32"/>
          <w:szCs w:val="32"/>
          <w:lang w:val="zh-CN" w:eastAsia="zh-CN" w:bidi="ar-SA"/>
        </w:rPr>
      </w:pPr>
      <w:bookmarkStart w:id="2" w:name="_Toc526940086"/>
      <w:r>
        <w:rPr>
          <w:rFonts w:hint="eastAsia" w:ascii="仿宋_GB2312" w:hAnsi="宋体" w:eastAsia="仿宋_GB2312" w:cs="Times New Roman"/>
          <w:b w:val="0"/>
          <w:bCs/>
          <w:color w:val="auto"/>
          <w:kern w:val="2"/>
          <w:sz w:val="32"/>
          <w:szCs w:val="32"/>
          <w:lang w:val="zh-CN" w:eastAsia="zh-CN" w:bidi="ar-SA"/>
        </w:rPr>
        <w:t>培训质量的保障不仅靠教学过程本身，还需要外部监督、问题反馈、自我反思和证据留存这四重机制共同支撑。</w:t>
      </w:r>
      <w:r>
        <w:rPr>
          <w:rFonts w:hint="default" w:ascii="仿宋_GB2312" w:hAnsi="宋体" w:eastAsia="仿宋_GB2312" w:cs="Times New Roman"/>
          <w:b w:val="0"/>
          <w:bCs/>
          <w:color w:val="auto"/>
          <w:kern w:val="2"/>
          <w:sz w:val="32"/>
          <w:szCs w:val="32"/>
          <w:lang w:val="zh-CN" w:eastAsia="zh-CN" w:bidi="ar-SA"/>
        </w:rPr>
        <w:t>服务评价、投诉处理与档案管理</w:t>
      </w:r>
      <w:r>
        <w:rPr>
          <w:rFonts w:hint="eastAsia" w:ascii="仿宋_GB2312" w:hAnsi="宋体" w:eastAsia="仿宋_GB2312" w:cs="Times New Roman"/>
          <w:b w:val="0"/>
          <w:bCs/>
          <w:color w:val="auto"/>
          <w:kern w:val="2"/>
          <w:sz w:val="32"/>
          <w:szCs w:val="32"/>
          <w:lang w:val="zh-CN" w:eastAsia="zh-CN" w:bidi="ar-SA"/>
        </w:rPr>
        <w:t>是任何规范化的社会服务标准都应包含的通用模块，</w:t>
      </w:r>
      <w:r>
        <w:rPr>
          <w:rFonts w:hint="eastAsia" w:ascii="仿宋_GB2312" w:hAnsi="宋体" w:eastAsia="仿宋_GB2312" w:cs="Times New Roman"/>
          <w:b w:val="0"/>
          <w:bCs/>
          <w:color w:val="auto"/>
          <w:kern w:val="2"/>
          <w:sz w:val="32"/>
          <w:szCs w:val="32"/>
          <w:lang w:val="en-US" w:eastAsia="zh-CN" w:bidi="ar-SA"/>
        </w:rPr>
        <w:t>同时</w:t>
      </w:r>
      <w:r>
        <w:rPr>
          <w:rFonts w:hint="eastAsia" w:ascii="仿宋_GB2312" w:hAnsi="宋体" w:eastAsia="仿宋_GB2312" w:cs="Times New Roman"/>
          <w:b w:val="0"/>
          <w:bCs/>
          <w:color w:val="auto"/>
          <w:kern w:val="2"/>
          <w:sz w:val="32"/>
          <w:szCs w:val="32"/>
          <w:lang w:val="zh-CN" w:eastAsia="zh-CN" w:bidi="ar-SA"/>
        </w:rPr>
        <w:t>结合三维建模和面向东盟的特点。</w:t>
      </w:r>
    </w:p>
    <w:p w14:paraId="52072CC7">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eastAsia="仿宋_GB2312" w:cs="Times New Roman"/>
          <w:b w:val="0"/>
          <w:bCs/>
          <w:color w:val="auto"/>
          <w:kern w:val="2"/>
          <w:sz w:val="32"/>
          <w:szCs w:val="32"/>
          <w:lang w:val="zh-CN" w:eastAsia="zh-CN" w:bidi="ar-SA"/>
        </w:rPr>
      </w:pPr>
      <w:r>
        <w:rPr>
          <w:rFonts w:hint="eastAsia" w:ascii="仿宋_GB2312" w:hAnsi="宋体" w:eastAsia="仿宋_GB2312" w:cs="Times New Roman"/>
          <w:b w:val="0"/>
          <w:bCs/>
          <w:color w:val="auto"/>
          <w:kern w:val="2"/>
          <w:sz w:val="32"/>
          <w:szCs w:val="32"/>
          <w:lang w:val="zh-CN" w:eastAsia="zh-CN" w:bidi="ar-SA"/>
        </w:rPr>
        <w:t>信息公开提供多语种信息版本，因为面向东盟招生的学员可能不熟悉中文，信息不对称会直接影响报名决策和信任度。三维建模涉及航测数据（可能包含敏感地理信息），数据泄露的安全等级与飞行事故同等严重。投诉处理强调飞行安全或数据安全事件应启动应急预案并上报。服务评价与改进重点评估课程实用性和成果质量，体现了技能培训的评价核心是</w:t>
      </w:r>
      <w:r>
        <w:rPr>
          <w:rFonts w:hint="eastAsia" w:ascii="仿宋_GB2312" w:hAnsi="宋体" w:eastAsia="仿宋_GB2312" w:cs="Times New Roman"/>
          <w:b w:val="0"/>
          <w:bCs/>
          <w:color w:val="auto"/>
          <w:kern w:val="2"/>
          <w:sz w:val="32"/>
          <w:szCs w:val="32"/>
          <w:lang w:val="en-US" w:eastAsia="zh-CN" w:bidi="ar-SA"/>
        </w:rPr>
        <w:t>学员能否有效适用</w:t>
      </w:r>
      <w:r>
        <w:rPr>
          <w:rFonts w:hint="eastAsia" w:ascii="仿宋_GB2312" w:hAnsi="宋体" w:cs="Times New Roman"/>
          <w:b w:val="0"/>
          <w:bCs/>
          <w:color w:val="auto"/>
          <w:kern w:val="2"/>
          <w:sz w:val="32"/>
          <w:szCs w:val="32"/>
          <w:lang w:val="en-US" w:eastAsia="zh-CN" w:bidi="ar-SA"/>
        </w:rPr>
        <w:t>。</w:t>
      </w:r>
      <w:r>
        <w:rPr>
          <w:rFonts w:hint="eastAsia" w:ascii="仿宋_GB2312" w:hAnsi="宋体" w:eastAsia="仿宋_GB2312" w:cs="Times New Roman"/>
          <w:b w:val="0"/>
          <w:bCs/>
          <w:color w:val="auto"/>
          <w:kern w:val="2"/>
          <w:sz w:val="32"/>
          <w:szCs w:val="32"/>
          <w:lang w:val="zh-CN" w:eastAsia="zh-CN" w:bidi="ar-SA"/>
        </w:rPr>
        <w:t>档案管理要求全过程归档并明确跨境存储合规，一方面是为了教学质量的追溯，另一方面也是数据安全法规的要求。</w:t>
      </w:r>
    </w:p>
    <w:p w14:paraId="412D30F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黑体" w:hAnsi="黑体" w:eastAsia="黑体" w:cs="仿宋_GB2312"/>
          <w:color w:val="auto"/>
          <w:sz w:val="32"/>
          <w:szCs w:val="32"/>
          <w:lang w:val="zh-CN" w:eastAsia="zh-CN"/>
        </w:rPr>
      </w:pPr>
      <w:r>
        <w:rPr>
          <w:rFonts w:hint="eastAsia" w:ascii="黑体" w:hAnsi="黑体" w:eastAsia="黑体" w:cs="仿宋_GB2312"/>
          <w:color w:val="auto"/>
          <w:sz w:val="32"/>
          <w:szCs w:val="32"/>
          <w:lang w:val="zh-CN" w:eastAsia="zh-CN"/>
        </w:rPr>
        <w:t>六、</w:t>
      </w:r>
      <w:bookmarkEnd w:id="2"/>
      <w:r>
        <w:rPr>
          <w:rFonts w:hint="eastAsia" w:ascii="黑体" w:hAnsi="黑体" w:eastAsia="黑体" w:cs="仿宋_GB2312"/>
          <w:color w:val="auto"/>
          <w:sz w:val="32"/>
          <w:szCs w:val="32"/>
          <w:lang w:val="zh-CN" w:eastAsia="zh-CN"/>
        </w:rPr>
        <w:t>重大分歧意见的处理经过和依据</w:t>
      </w:r>
    </w:p>
    <w:p w14:paraId="7DBD7D8D">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七</w:t>
      </w:r>
      <w:r>
        <w:rPr>
          <w:rFonts w:ascii="黑体" w:hAnsi="黑体" w:eastAsia="黑体" w:cs="仿宋_GB2312"/>
          <w:color w:val="auto"/>
          <w:sz w:val="32"/>
          <w:szCs w:val="32"/>
        </w:rPr>
        <w:t>、</w:t>
      </w:r>
      <w:r>
        <w:rPr>
          <w:rFonts w:hint="eastAsia" w:ascii="黑体" w:hAnsi="黑体" w:eastAsia="黑体" w:cs="仿宋_GB2312"/>
          <w:color w:val="auto"/>
          <w:sz w:val="32"/>
          <w:szCs w:val="32"/>
        </w:rPr>
        <w:t>实施标准的措施</w:t>
      </w:r>
    </w:p>
    <w:p w14:paraId="67C45D00">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（一）标准报批发布后，成立标准宣贯工作组</w:t>
      </w:r>
    </w:p>
    <w:p w14:paraId="7330B5F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（二）组织开展标准宣贯培训</w:t>
      </w:r>
    </w:p>
    <w:p w14:paraId="38C99CE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标准发布实施后，标准宣贯工作小组制作标准解读宣贯培训PPT课件和标准核心技术明白书，并按标准宣贯培训计划深入各市县相关机构、</w:t>
      </w:r>
      <w:r>
        <w:rPr>
          <w:rFonts w:hint="eastAsia" w:ascii="仿宋_GB2312" w:hAnsi="宋体"/>
          <w:color w:val="auto"/>
          <w:sz w:val="32"/>
          <w:szCs w:val="28"/>
          <w:lang w:val="en-US" w:eastAsia="zh-CN"/>
        </w:rPr>
        <w:t>无人机三维建模</w:t>
      </w:r>
      <w:r>
        <w:rPr>
          <w:rFonts w:hint="eastAsia" w:ascii="仿宋_GB2312" w:hAnsi="宋体" w:eastAsia="仿宋_GB2312" w:cs="Times New Roman"/>
          <w:color w:val="auto"/>
          <w:sz w:val="32"/>
          <w:szCs w:val="28"/>
        </w:rPr>
        <w:t>培训服务单位</w:t>
      </w:r>
      <w:r>
        <w:rPr>
          <w:rFonts w:hint="eastAsia" w:ascii="仿宋_GB2312" w:hAnsi="宋体" w:eastAsia="仿宋_GB2312"/>
          <w:color w:val="auto"/>
          <w:sz w:val="32"/>
          <w:szCs w:val="28"/>
        </w:rPr>
        <w:t>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（三）开展标准实施交流会，收集标准实施反馈信息</w:t>
      </w:r>
    </w:p>
    <w:p w14:paraId="336AB236">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标准起草小组深入各市县相关机构、</w:t>
      </w:r>
      <w:r>
        <w:rPr>
          <w:rFonts w:hint="eastAsia" w:ascii="仿宋_GB2312" w:hAnsi="宋体"/>
          <w:color w:val="auto"/>
          <w:sz w:val="32"/>
          <w:szCs w:val="28"/>
          <w:lang w:val="en-US" w:eastAsia="zh-CN"/>
        </w:rPr>
        <w:t>无人机三维建模</w:t>
      </w:r>
      <w:r>
        <w:rPr>
          <w:rFonts w:hint="eastAsia" w:ascii="仿宋_GB2312" w:hAnsi="宋体" w:eastAsia="仿宋_GB2312" w:cs="Times New Roman"/>
          <w:color w:val="auto"/>
          <w:sz w:val="32"/>
          <w:szCs w:val="28"/>
        </w:rPr>
        <w:t>培训</w:t>
      </w:r>
      <w:r>
        <w:rPr>
          <w:rFonts w:hint="eastAsia" w:ascii="仿宋_GB2312" w:hAnsi="宋体" w:eastAsia="仿宋_GB2312"/>
          <w:color w:val="auto"/>
          <w:sz w:val="32"/>
          <w:szCs w:val="28"/>
        </w:rPr>
        <w:t>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（四）开展标准实施效果评估</w:t>
      </w:r>
    </w:p>
    <w:p w14:paraId="7DE0DDFE">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八、其他应当说明的事项</w:t>
      </w:r>
    </w:p>
    <w:p w14:paraId="23A53EB2">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无。</w:t>
      </w:r>
    </w:p>
    <w:p w14:paraId="1562F1AF">
      <w:pPr>
        <w:keepNext w:val="0"/>
        <w:keepLines w:val="0"/>
        <w:pageBreakBefore w:val="0"/>
        <w:kinsoku/>
        <w:overflowPunct/>
        <w:topLinePunct w:val="0"/>
        <w:bidi w:val="0"/>
        <w:snapToGrid/>
        <w:spacing w:line="560" w:lineRule="exact"/>
        <w:ind w:left="0"/>
        <w:textAlignment w:val="auto"/>
        <w:rPr>
          <w:rFonts w:ascii="仿宋_GB2312" w:hAnsi="仿宋" w:eastAsia="仿宋_GB2312"/>
          <w:bCs/>
          <w:color w:val="auto"/>
          <w:sz w:val="36"/>
          <w:szCs w:val="32"/>
        </w:rPr>
      </w:pPr>
    </w:p>
    <w:p w14:paraId="0FDE70D6">
      <w:pPr>
        <w:keepNext w:val="0"/>
        <w:keepLines w:val="0"/>
        <w:pageBreakBefore w:val="0"/>
        <w:kinsoku/>
        <w:overflowPunct/>
        <w:topLinePunct w:val="0"/>
        <w:bidi w:val="0"/>
        <w:snapToGrid/>
        <w:spacing w:line="560" w:lineRule="exact"/>
        <w:ind w:left="0"/>
        <w:textAlignment w:val="auto"/>
        <w:rPr>
          <w:rFonts w:ascii="仿宋_GB2312" w:hAnsi="仿宋" w:eastAsia="仿宋_GB2312"/>
          <w:bCs/>
          <w:color w:val="auto"/>
          <w:sz w:val="36"/>
          <w:szCs w:val="32"/>
        </w:rPr>
      </w:pPr>
    </w:p>
    <w:p w14:paraId="639B864D">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团体标准《无人机三维建模培训服务规范》</w:t>
      </w:r>
    </w:p>
    <w:p w14:paraId="607C1987">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 xml:space="preserve">标准编制工作组 </w:t>
      </w:r>
      <w:r>
        <w:rPr>
          <w:rFonts w:ascii="仿宋_GB2312" w:hAnsi="宋体" w:eastAsia="仿宋_GB2312"/>
          <w:color w:val="auto"/>
          <w:sz w:val="32"/>
          <w:szCs w:val="28"/>
        </w:rPr>
        <w:t xml:space="preserve">        </w:t>
      </w:r>
    </w:p>
    <w:p w14:paraId="539467F6">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6</w:t>
      </w:r>
      <w:r>
        <w:rPr>
          <w:rFonts w:hint="eastAsia" w:ascii="仿宋_GB2312" w:hAnsi="宋体" w:eastAsia="仿宋_GB2312"/>
          <w:color w:val="auto"/>
          <w:sz w:val="32"/>
          <w:szCs w:val="28"/>
        </w:rPr>
        <w:t>月</w:t>
      </w:r>
      <w:r>
        <w:rPr>
          <w:rFonts w:hint="eastAsia" w:ascii="仿宋_GB2312" w:hAnsi="宋体"/>
          <w:color w:val="auto"/>
          <w:sz w:val="32"/>
          <w:szCs w:val="28"/>
          <w:lang w:val="en-US" w:eastAsia="zh-CN"/>
        </w:rPr>
        <w:t>25</w:t>
      </w:r>
      <w:r>
        <w:rPr>
          <w:rFonts w:hint="eastAsia" w:ascii="仿宋_GB2312" w:hAnsi="宋体" w:eastAsia="仿宋_GB2312"/>
          <w:color w:val="auto"/>
          <w:sz w:val="32"/>
          <w:szCs w:val="28"/>
        </w:rPr>
        <w:t xml:space="preserve">日       </w:t>
      </w:r>
      <w:r>
        <w:rPr>
          <w:rFonts w:ascii="仿宋_GB2312" w:hAnsi="宋体" w:eastAsia="仿宋_GB2312"/>
          <w:color w:val="auto"/>
          <w:sz w:val="32"/>
          <w:szCs w:val="28"/>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3"/>
          <w:jc w:val="center"/>
        </w:pPr>
        <w:r>
          <w:fldChar w:fldCharType="begin"/>
        </w:r>
        <w:r>
          <w:instrText xml:space="preserve">PAGE   \* MERGEFORMAT</w:instrText>
        </w:r>
        <w:r>
          <w:fldChar w:fldCharType="separate"/>
        </w:r>
        <w:r>
          <w:rPr>
            <w:lang w:val="zh-CN"/>
          </w:rPr>
          <w:t>7</w:t>
        </w:r>
        <w:r>
          <w:fldChar w:fldCharType="end"/>
        </w:r>
      </w:p>
    </w:sdtContent>
  </w:sdt>
  <w:p w14:paraId="76F9E80E">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0"/>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4"/>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3"/>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5"/>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4"/>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6"/>
      <w:suff w:val="nothing"/>
      <w:lvlText w:val="%1.%2.%3　"/>
      <w:lvlJc w:val="left"/>
      <w:pPr>
        <w:ind w:left="0" w:firstLine="0"/>
      </w:pPr>
      <w:rPr>
        <w:rFonts w:hint="eastAsia" w:ascii="黑体" w:hAnsi="Times New Roman" w:eastAsia="黑体"/>
        <w:b w:val="0"/>
        <w:i w:val="0"/>
        <w:sz w:val="21"/>
      </w:rPr>
    </w:lvl>
    <w:lvl w:ilvl="3" w:tentative="0">
      <w:start w:val="1"/>
      <w:numFmt w:val="decimal"/>
      <w:pStyle w:val="17"/>
      <w:suff w:val="nothing"/>
      <w:lvlText w:val="%1.%2.%3.%4　"/>
      <w:lvlJc w:val="left"/>
      <w:pPr>
        <w:ind w:left="0" w:firstLine="0"/>
      </w:pPr>
      <w:rPr>
        <w:rFonts w:hint="eastAsia" w:ascii="黑体" w:hAnsi="Times New Roman" w:eastAsia="黑体"/>
        <w:b w:val="0"/>
        <w:i w:val="0"/>
        <w:sz w:val="21"/>
      </w:rPr>
    </w:lvl>
    <w:lvl w:ilvl="4" w:tentative="0">
      <w:start w:val="1"/>
      <w:numFmt w:val="decimal"/>
      <w:pStyle w:val="18"/>
      <w:suff w:val="nothing"/>
      <w:lvlText w:val="%1.%2.%3.%4.%5　"/>
      <w:lvlJc w:val="left"/>
      <w:pPr>
        <w:ind w:left="0" w:firstLine="0"/>
      </w:pPr>
      <w:rPr>
        <w:rFonts w:hint="eastAsia" w:ascii="黑体" w:hAnsi="Times New Roman" w:eastAsia="黑体"/>
        <w:b w:val="0"/>
        <w:i w:val="0"/>
        <w:sz w:val="21"/>
      </w:rPr>
    </w:lvl>
    <w:lvl w:ilvl="5" w:tentative="0">
      <w:start w:val="1"/>
      <w:numFmt w:val="decimal"/>
      <w:pStyle w:val="19"/>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1"/>
      <w:suff w:val="space"/>
      <w:lvlText w:val="%1"/>
      <w:lvlJc w:val="left"/>
      <w:pPr>
        <w:ind w:left="623" w:hanging="425"/>
      </w:pPr>
      <w:rPr>
        <w:rFonts w:hint="eastAsia"/>
      </w:rPr>
    </w:lvl>
    <w:lvl w:ilvl="1" w:tentative="0">
      <w:start w:val="1"/>
      <w:numFmt w:val="decimal"/>
      <w:pStyle w:val="22"/>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3"/>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28"/>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2"/>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36B7036"/>
    <w:rsid w:val="039E595D"/>
    <w:rsid w:val="06AB431A"/>
    <w:rsid w:val="070F07F6"/>
    <w:rsid w:val="07697D31"/>
    <w:rsid w:val="08083403"/>
    <w:rsid w:val="08955281"/>
    <w:rsid w:val="09BE5E2A"/>
    <w:rsid w:val="0A091F73"/>
    <w:rsid w:val="0A8504E9"/>
    <w:rsid w:val="0A9652E1"/>
    <w:rsid w:val="0D92619C"/>
    <w:rsid w:val="0E4C5F96"/>
    <w:rsid w:val="0E5139F9"/>
    <w:rsid w:val="0EB020D5"/>
    <w:rsid w:val="0F412CA9"/>
    <w:rsid w:val="0F501F02"/>
    <w:rsid w:val="0FCE2C6E"/>
    <w:rsid w:val="0FD5019F"/>
    <w:rsid w:val="0FD566D2"/>
    <w:rsid w:val="11EE77B0"/>
    <w:rsid w:val="13B2170D"/>
    <w:rsid w:val="13B97480"/>
    <w:rsid w:val="13DA623E"/>
    <w:rsid w:val="14034EB5"/>
    <w:rsid w:val="14870494"/>
    <w:rsid w:val="14DB04C0"/>
    <w:rsid w:val="15085E8C"/>
    <w:rsid w:val="15174F60"/>
    <w:rsid w:val="1556095A"/>
    <w:rsid w:val="167D7F24"/>
    <w:rsid w:val="17306AB5"/>
    <w:rsid w:val="17373F64"/>
    <w:rsid w:val="175E7186"/>
    <w:rsid w:val="18340C25"/>
    <w:rsid w:val="191C10A7"/>
    <w:rsid w:val="19A054D6"/>
    <w:rsid w:val="19C808E7"/>
    <w:rsid w:val="1B00108F"/>
    <w:rsid w:val="1B0717C8"/>
    <w:rsid w:val="1B9E6507"/>
    <w:rsid w:val="1BE33681"/>
    <w:rsid w:val="1C4C1474"/>
    <w:rsid w:val="1D0936F0"/>
    <w:rsid w:val="1ED57D2E"/>
    <w:rsid w:val="20653288"/>
    <w:rsid w:val="21862EC6"/>
    <w:rsid w:val="224C6559"/>
    <w:rsid w:val="237A2B2A"/>
    <w:rsid w:val="25B52667"/>
    <w:rsid w:val="275B579A"/>
    <w:rsid w:val="28940C5A"/>
    <w:rsid w:val="2BE75544"/>
    <w:rsid w:val="2C0C0B07"/>
    <w:rsid w:val="2C444CF7"/>
    <w:rsid w:val="2C4F36F5"/>
    <w:rsid w:val="2CF60F59"/>
    <w:rsid w:val="2D5F22BD"/>
    <w:rsid w:val="2F05640D"/>
    <w:rsid w:val="2F367507"/>
    <w:rsid w:val="2FF37D11"/>
    <w:rsid w:val="3013049D"/>
    <w:rsid w:val="30457642"/>
    <w:rsid w:val="310615C5"/>
    <w:rsid w:val="311961A0"/>
    <w:rsid w:val="332C3D99"/>
    <w:rsid w:val="34C61FA2"/>
    <w:rsid w:val="353F3CFB"/>
    <w:rsid w:val="365875C5"/>
    <w:rsid w:val="375810A4"/>
    <w:rsid w:val="38CD121A"/>
    <w:rsid w:val="38CE1101"/>
    <w:rsid w:val="39356049"/>
    <w:rsid w:val="39F72DF7"/>
    <w:rsid w:val="3A9366F9"/>
    <w:rsid w:val="3B0357CB"/>
    <w:rsid w:val="3B4E60E4"/>
    <w:rsid w:val="3BF35840"/>
    <w:rsid w:val="3BFE2074"/>
    <w:rsid w:val="3C374EA5"/>
    <w:rsid w:val="3CFB2BFE"/>
    <w:rsid w:val="3D6B66C9"/>
    <w:rsid w:val="3E912A5E"/>
    <w:rsid w:val="3F5C54AA"/>
    <w:rsid w:val="3F8C7277"/>
    <w:rsid w:val="3FA0222F"/>
    <w:rsid w:val="41AF7178"/>
    <w:rsid w:val="41BC1DE0"/>
    <w:rsid w:val="425F2BB3"/>
    <w:rsid w:val="42D769B6"/>
    <w:rsid w:val="44F600D3"/>
    <w:rsid w:val="45617704"/>
    <w:rsid w:val="458C4D3B"/>
    <w:rsid w:val="48B048DB"/>
    <w:rsid w:val="4B4B1F41"/>
    <w:rsid w:val="4B7B04C5"/>
    <w:rsid w:val="4B8C0594"/>
    <w:rsid w:val="4C0F7B1B"/>
    <w:rsid w:val="4C655473"/>
    <w:rsid w:val="4CFE380A"/>
    <w:rsid w:val="4D862B8C"/>
    <w:rsid w:val="4DFF35F5"/>
    <w:rsid w:val="4EC45545"/>
    <w:rsid w:val="4EF47599"/>
    <w:rsid w:val="4FE3578A"/>
    <w:rsid w:val="523F4EE3"/>
    <w:rsid w:val="54046D5C"/>
    <w:rsid w:val="54E94B5B"/>
    <w:rsid w:val="553162C0"/>
    <w:rsid w:val="55661639"/>
    <w:rsid w:val="55761622"/>
    <w:rsid w:val="592D3CE7"/>
    <w:rsid w:val="5B5D2761"/>
    <w:rsid w:val="5BD857FA"/>
    <w:rsid w:val="5C080481"/>
    <w:rsid w:val="5D7A51C0"/>
    <w:rsid w:val="5E202145"/>
    <w:rsid w:val="5F621BCD"/>
    <w:rsid w:val="5FD72BFF"/>
    <w:rsid w:val="600A4D82"/>
    <w:rsid w:val="6031647B"/>
    <w:rsid w:val="60A24FBB"/>
    <w:rsid w:val="61963763"/>
    <w:rsid w:val="6198016C"/>
    <w:rsid w:val="62F74A7A"/>
    <w:rsid w:val="660E1539"/>
    <w:rsid w:val="668E2223"/>
    <w:rsid w:val="66A575B3"/>
    <w:rsid w:val="678E44EB"/>
    <w:rsid w:val="683026D9"/>
    <w:rsid w:val="689A6DDC"/>
    <w:rsid w:val="693F388B"/>
    <w:rsid w:val="6A2E26EF"/>
    <w:rsid w:val="6B421874"/>
    <w:rsid w:val="6C916720"/>
    <w:rsid w:val="6DBA21A1"/>
    <w:rsid w:val="72677E12"/>
    <w:rsid w:val="73731F46"/>
    <w:rsid w:val="744C3764"/>
    <w:rsid w:val="746740F9"/>
    <w:rsid w:val="748A603A"/>
    <w:rsid w:val="75105E6D"/>
    <w:rsid w:val="78AF3D07"/>
    <w:rsid w:val="7A6335B5"/>
    <w:rsid w:val="7AD1051F"/>
    <w:rsid w:val="7AF5051C"/>
    <w:rsid w:val="7AFB37ED"/>
    <w:rsid w:val="7BBA680A"/>
    <w:rsid w:val="7BE826AE"/>
    <w:rsid w:val="7C5B09E8"/>
    <w:rsid w:val="7CCF532E"/>
    <w:rsid w:val="7E00338F"/>
    <w:rsid w:val="7FC050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35"/>
    <w:semiHidden/>
    <w:unhideWhenUsed/>
    <w:qFormat/>
    <w:uiPriority w:val="0"/>
    <w:rPr>
      <w:sz w:val="18"/>
      <w:szCs w:val="18"/>
    </w:rPr>
  </w:style>
  <w:style w:type="paragraph" w:styleId="3">
    <w:name w:val="footer"/>
    <w:basedOn w:val="1"/>
    <w:link w:val="27"/>
    <w:qFormat/>
    <w:uiPriority w:val="99"/>
    <w:pPr>
      <w:tabs>
        <w:tab w:val="center" w:pos="4153"/>
        <w:tab w:val="right" w:pos="8306"/>
      </w:tabs>
      <w:snapToGrid w:val="0"/>
      <w:jc w:val="left"/>
    </w:pPr>
    <w:rPr>
      <w:sz w:val="18"/>
      <w:szCs w:val="18"/>
    </w:rPr>
  </w:style>
  <w:style w:type="paragraph" w:styleId="4">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spacing w:before="100" w:beforeAutospacing="1" w:after="100" w:afterAutospacing="1"/>
      <w:jc w:val="left"/>
    </w:pPr>
    <w:rPr>
      <w:kern w:val="0"/>
      <w:sz w:val="24"/>
    </w:rPr>
  </w:style>
  <w:style w:type="table" w:styleId="7">
    <w:name w:val="Table Grid"/>
    <w:basedOn w:val="6"/>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
    <w:name w:val="Hyperlink"/>
    <w:basedOn w:val="8"/>
    <w:unhideWhenUsed/>
    <w:qFormat/>
    <w:uiPriority w:val="99"/>
    <w:rPr>
      <w:color w:val="0000FF"/>
      <w:u w:val="single"/>
    </w:rPr>
  </w:style>
  <w:style w:type="paragraph" w:customStyle="1" w:styleId="10">
    <w:name w:val="段"/>
    <w:link w:val="25"/>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1">
    <w:name w:val="正文表标题"/>
    <w:next w:val="10"/>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2">
    <w:name w:val="正文图标题"/>
    <w:next w:val="10"/>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4">
    <w:name w:val="一级条标题"/>
    <w:next w:val="10"/>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5">
    <w:name w:val="章标题"/>
    <w:next w:val="10"/>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6">
    <w:name w:val="二级条标题"/>
    <w:basedOn w:val="14"/>
    <w:next w:val="10"/>
    <w:qFormat/>
    <w:uiPriority w:val="0"/>
    <w:pPr>
      <w:numPr>
        <w:ilvl w:val="2"/>
      </w:numPr>
      <w:spacing w:before="50" w:after="50"/>
      <w:outlineLvl w:val="3"/>
    </w:pPr>
  </w:style>
  <w:style w:type="paragraph" w:customStyle="1" w:styleId="17">
    <w:name w:val="三级条标题"/>
    <w:basedOn w:val="16"/>
    <w:next w:val="10"/>
    <w:qFormat/>
    <w:uiPriority w:val="0"/>
    <w:pPr>
      <w:numPr>
        <w:ilvl w:val="3"/>
      </w:numPr>
      <w:outlineLvl w:val="4"/>
    </w:pPr>
  </w:style>
  <w:style w:type="paragraph" w:customStyle="1" w:styleId="18">
    <w:name w:val="四级条标题"/>
    <w:basedOn w:val="17"/>
    <w:next w:val="10"/>
    <w:qFormat/>
    <w:uiPriority w:val="0"/>
    <w:pPr>
      <w:numPr>
        <w:ilvl w:val="4"/>
      </w:numPr>
      <w:outlineLvl w:val="5"/>
    </w:pPr>
  </w:style>
  <w:style w:type="paragraph" w:customStyle="1" w:styleId="19">
    <w:name w:val="五级条标题"/>
    <w:basedOn w:val="18"/>
    <w:next w:val="10"/>
    <w:qFormat/>
    <w:uiPriority w:val="0"/>
    <w:pPr>
      <w:numPr>
        <w:ilvl w:val="5"/>
      </w:numPr>
      <w:outlineLvl w:val="6"/>
    </w:pPr>
  </w:style>
  <w:style w:type="paragraph" w:customStyle="1" w:styleId="20">
    <w:name w:val="注："/>
    <w:next w:val="10"/>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1">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2">
    <w:name w:val="附录图标题"/>
    <w:basedOn w:val="1"/>
    <w:next w:val="10"/>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3">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4">
    <w:name w:val="图表脚注说明"/>
    <w:basedOn w:val="1"/>
    <w:qFormat/>
    <w:uiPriority w:val="0"/>
    <w:pPr>
      <w:numPr>
        <w:ilvl w:val="0"/>
        <w:numId w:val="7"/>
      </w:numPr>
    </w:pPr>
    <w:rPr>
      <w:rFonts w:ascii="宋体"/>
      <w:sz w:val="18"/>
      <w:szCs w:val="18"/>
    </w:rPr>
  </w:style>
  <w:style w:type="character" w:customStyle="1" w:styleId="25">
    <w:name w:val="段 Char"/>
    <w:basedOn w:val="8"/>
    <w:link w:val="10"/>
    <w:qFormat/>
    <w:uiPriority w:val="0"/>
    <w:rPr>
      <w:rFonts w:ascii="宋体"/>
      <w:sz w:val="21"/>
      <w:lang w:val="en-US" w:eastAsia="zh-CN" w:bidi="ar-SA"/>
    </w:rPr>
  </w:style>
  <w:style w:type="character" w:customStyle="1" w:styleId="26">
    <w:name w:val="页眉 字符"/>
    <w:basedOn w:val="8"/>
    <w:link w:val="4"/>
    <w:qFormat/>
    <w:uiPriority w:val="0"/>
    <w:rPr>
      <w:kern w:val="2"/>
      <w:sz w:val="18"/>
      <w:szCs w:val="18"/>
    </w:rPr>
  </w:style>
  <w:style w:type="character" w:customStyle="1" w:styleId="27">
    <w:name w:val="页脚 字符"/>
    <w:basedOn w:val="8"/>
    <w:link w:val="3"/>
    <w:qFormat/>
    <w:uiPriority w:val="99"/>
    <w:rPr>
      <w:kern w:val="2"/>
      <w:sz w:val="18"/>
      <w:szCs w:val="18"/>
    </w:rPr>
  </w:style>
  <w:style w:type="paragraph" w:customStyle="1" w:styleId="28">
    <w:name w:val="附录表标题"/>
    <w:basedOn w:val="1"/>
    <w:next w:val="10"/>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29">
    <w:name w:val="List Paragraph"/>
    <w:basedOn w:val="1"/>
    <w:unhideWhenUsed/>
    <w:qFormat/>
    <w:uiPriority w:val="34"/>
    <w:pPr>
      <w:ind w:firstLine="420" w:firstLineChars="200"/>
    </w:pPr>
  </w:style>
  <w:style w:type="paragraph" w:customStyle="1" w:styleId="3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1">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2">
    <w:name w:val="发布"/>
    <w:qFormat/>
    <w:uiPriority w:val="0"/>
    <w:rPr>
      <w:rFonts w:ascii="黑体" w:eastAsia="黑体"/>
      <w:spacing w:val="22"/>
      <w:w w:val="100"/>
      <w:position w:val="3"/>
      <w:sz w:val="28"/>
    </w:rPr>
  </w:style>
  <w:style w:type="paragraph" w:customStyle="1" w:styleId="3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4">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5">
    <w:name w:val="批注框文本 字符"/>
    <w:basedOn w:val="8"/>
    <w:link w:val="2"/>
    <w:semiHidden/>
    <w:qFormat/>
    <w:uiPriority w:val="0"/>
    <w:rPr>
      <w:rFonts w:ascii="Times New Roman" w:hAnsi="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19</Pages>
  <Words>9512</Words>
  <Characters>9824</Characters>
  <Lines>2</Lines>
  <Paragraphs>5</Paragraphs>
  <TotalTime>18</TotalTime>
  <ScaleCrop>false</ScaleCrop>
  <LinksUpToDate>false</LinksUpToDate>
  <CharactersWithSpaces>9886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2026-06-30T06:41:54Z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484DF7F1BEB842158BCD0584349217B5</vt:lpwstr>
  </property>
  <property fmtid="{D5CDD505-2E9C-101B-9397-08002B2CF9AE}" pid="4" name="KSOTemplateDocerSaveRecord">
    <vt:lpwstr>eyJoZGlkIjoiYWU5ODIyNDQzMTFlYmNiMzlhMmFkNjExNWM2YjM4YTYiLCJ1c2VySWQiOiIxNjgzMDY0NzMzIn0=</vt:lpwstr>
  </property>
</Properties>
</file>